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body>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25" w:lineRule="atLeast"/>
        <w:jc w:val="center"/>
        <w:textAlignment w:val="auto"/>
        <w:rPr>
          <w:rFonts w:ascii="宋体" w:eastAsia="宋体" w:cs="宋体" w:hAnsi="宋体" w:hint="eastAsia"/>
          <w:b/>
          <w:bCs/>
          <w:snapToGrid w:val="0"/>
          <w:color w:val="000000"/>
          <w:spacing w:val="-2"/>
          <w:kern w:val="0"/>
          <w:sz w:val="28"/>
          <w:szCs w:val="28"/>
          <w:lang w:val="en-US" w:eastAsia="zh-CN" w:bidi="ar-SA"/>
        </w:rPr>
      </w:pPr>
      <w:r>
        <w:rPr>
          <w:rFonts w:ascii="宋体" w:eastAsia="宋体" w:cs="宋体" w:hAnsi="宋体" w:hint="eastAsia"/>
          <w:b/>
          <w:bCs/>
          <w:snapToGrid w:val="0"/>
          <w:color w:val="000000"/>
          <w:spacing w:val="-2"/>
          <w:kern w:val="0"/>
          <w:sz w:val="28"/>
          <w:szCs w:val="28"/>
          <w:lang w:val="en-US" w:eastAsia="zh-CN" w:bidi="ar-SA"/>
        </w:rPr>
        <w:t>心理CT系统市场调研参数要求</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25" w:lineRule="atLeast"/>
        <w:ind w:left="425" w:hanging="425"/>
        <w:jc w:val="left"/>
        <w:textAlignment w:val="auto"/>
        <w:rPr>
          <w:rFonts w:ascii="宋体" w:eastAsia="宋体" w:cs="宋体" w:hAnsi="宋体" w:hint="eastAsia"/>
          <w:b/>
          <w:bCs/>
          <w:spacing w:val="7"/>
          <w:sz w:val="24"/>
          <w:szCs w:val="24"/>
          <w:lang w:val="en-US" w:eastAsia="zh-CN"/>
        </w:rPr>
      </w:pPr>
      <w:r>
        <w:rPr>
          <w:rFonts w:ascii="宋体" w:eastAsia="宋体" w:cs="宋体" w:hAnsi="宋体" w:hint="eastAsia"/>
          <w:b/>
          <w:bCs/>
          <w:spacing w:val="7"/>
          <w:sz w:val="24"/>
          <w:szCs w:val="24"/>
          <w:lang w:val="en-US" w:eastAsia="zh-CN"/>
        </w:rPr>
        <w:t>基本要求：</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567" w:hanging="567"/>
        <w:jc w:val="left"/>
        <w:textAlignment w:val="auto"/>
        <w:rPr>
          <w:rFonts w:ascii="宋体" w:cs="宋体" w:hAnsi="宋体" w:hint="eastAsia"/>
          <w:snapToGrid w:val="0"/>
          <w:color w:val="000000"/>
          <w:spacing w:val="-2"/>
          <w:kern w:val="0"/>
          <w:sz w:val="24"/>
        </w:rPr>
      </w:pPr>
      <w:r>
        <w:rPr>
          <w:rFonts w:ascii="宋体" w:cs="宋体" w:hAnsi="宋体" w:hint="eastAsia"/>
          <w:snapToGrid w:val="0"/>
          <w:color w:val="000000"/>
          <w:spacing w:val="-2"/>
          <w:kern w:val="0"/>
          <w:sz w:val="24"/>
        </w:rPr>
        <w:t>系统软件应具有二类医疗器械注册证。需通过技术审评，确保算法、量表的科学性和一致性（如与金标准的一致性验证）。</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25" w:lineRule="atLeast"/>
        <w:ind w:left="425" w:hanging="425"/>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b/>
          <w:bCs/>
          <w:spacing w:val="7"/>
          <w:sz w:val="24"/>
          <w:szCs w:val="24"/>
          <w:lang w:val="en-US" w:eastAsia="zh-CN"/>
        </w:rPr>
        <w:t>软件核心功能</w:t>
      </w:r>
      <w:r>
        <w:rPr>
          <w:rFonts w:ascii="宋体" w:cs="宋体" w:hAnsi="宋体" w:hint="eastAsia"/>
          <w:b/>
          <w:bCs/>
          <w:spacing w:val="7"/>
          <w:sz w:val="24"/>
          <w:szCs w:val="24"/>
          <w:lang w:val="en-US" w:eastAsia="zh-CN"/>
        </w:rPr>
        <w:t>要求</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依据文化程度差异、性别差异、不同年龄阶层等建立标准化的中国常模并以此为依据进行大数据分析，测评评估报告符合临床诊断需求，心理CT的诊断符合率达到84％以上。</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1057" w:hangingChars="448" w:hanging="105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心理CT应具有测谎功能，可以控制和发现被试者在测评中的掩饰和夸大倾向。</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38" w:hangingChars="186" w:hanging="438"/>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心理CT应具有不少于8个诊断模块,包括精神卫生、心理咨询、学业咨询、司法鉴定等。</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心理CT的结果报告应具有测评者基本人口学信息、各因子得分、诊断结果、分析建议、风险预警提示、临床辅助诊断意见等信息。</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具有纵向报告功能：同一患者在不同的时间做同一测评量表时,系统能够自动显示前后对比结果的数据趋势分析。</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心理CT应具有危险行为预警提示功能。</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25" w:lineRule="atLeast"/>
        <w:ind w:left="449" w:hangingChars="177" w:hanging="449"/>
        <w:jc w:val="left"/>
        <w:textAlignment w:val="auto"/>
        <w:rPr>
          <w:rFonts w:ascii="宋体" w:eastAsia="宋体" w:cs="宋体" w:hAnsi="宋体" w:hint="eastAsia"/>
          <w:b/>
          <w:bCs/>
          <w:spacing w:val="7"/>
          <w:sz w:val="24"/>
          <w:szCs w:val="24"/>
          <w:lang w:val="en-US" w:eastAsia="zh-CN"/>
        </w:rPr>
      </w:pPr>
      <w:r>
        <w:rPr>
          <w:rFonts w:ascii="宋体" w:eastAsia="宋体" w:cs="宋体" w:hAnsi="宋体" w:hint="eastAsia"/>
          <w:b/>
          <w:bCs/>
          <w:spacing w:val="7"/>
          <w:sz w:val="24"/>
          <w:szCs w:val="24"/>
          <w:lang w:val="en-US" w:eastAsia="zh-CN"/>
        </w:rPr>
        <w:t>软件基础功能</w:t>
      </w:r>
      <w:r>
        <w:rPr>
          <w:rFonts w:ascii="宋体" w:cs="宋体" w:hAnsi="宋体" w:hint="eastAsia"/>
          <w:b/>
          <w:bCs/>
          <w:spacing w:val="7"/>
          <w:sz w:val="24"/>
          <w:szCs w:val="24"/>
          <w:lang w:val="en-US" w:eastAsia="zh-CN"/>
        </w:rPr>
        <w:t>要求</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根据测验结果自动计算得分，自动生成评估报告。</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软件应具备断点续测功能，当测查终端中断退出，软件自动保存当前测评进度和测评数据。</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支持多字段检索，可根据姓名、个人编号等信息精确或模糊查询。</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系统应具备统计分析功能。</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cs="宋体" w:hAnsi="宋体" w:hint="eastAsia"/>
          <w:snapToGrid w:val="0"/>
          <w:color w:val="000000"/>
          <w:spacing w:val="-2"/>
          <w:kern w:val="0"/>
          <w:sz w:val="24"/>
        </w:rPr>
      </w:pPr>
      <w:r>
        <w:rPr>
          <w:rFonts w:ascii="宋体" w:eastAsia="宋体" w:cs="宋体" w:hAnsi="宋体" w:hint="eastAsia"/>
          <w:snapToGrid w:val="0"/>
          <w:color w:val="000000"/>
          <w:spacing w:val="-2"/>
          <w:kern w:val="0"/>
          <w:sz w:val="24"/>
          <w:szCs w:val="24"/>
          <w:lang w:val="en-US" w:eastAsia="zh-CN" w:bidi="ar-SA"/>
        </w:rPr>
        <w:t>系统应具备记</w:t>
      </w:r>
      <w:r>
        <w:rPr>
          <w:rFonts w:ascii="宋体" w:cs="宋体" w:hAnsi="宋体" w:hint="eastAsia"/>
          <w:snapToGrid w:val="0"/>
          <w:color w:val="000000"/>
          <w:spacing w:val="-2"/>
          <w:kern w:val="0"/>
          <w:sz w:val="24"/>
        </w:rPr>
        <w:t>忆功能评估模块，提供所用记忆量表的知识产权证明文件。</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cs="宋体" w:hAnsi="宋体" w:hint="eastAsia"/>
          <w:snapToGrid w:val="0"/>
          <w:color w:val="000000"/>
          <w:spacing w:val="-2"/>
          <w:kern w:val="0"/>
          <w:sz w:val="24"/>
        </w:rPr>
      </w:pPr>
      <w:r>
        <w:rPr>
          <w:rFonts w:ascii="宋体" w:cs="宋体" w:hAnsi="宋体" w:hint="eastAsia"/>
          <w:snapToGrid w:val="0"/>
          <w:color w:val="000000"/>
          <w:spacing w:val="-2"/>
          <w:kern w:val="0"/>
          <w:sz w:val="24"/>
        </w:rPr>
        <w:t>系统需与医院现有的心理CT系统（海斯曼心理CT系统）数据库相兼容。</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cs="宋体" w:hAnsi="宋体" w:hint="eastAsia"/>
          <w:snapToGrid w:val="0"/>
          <w:color w:val="000000"/>
          <w:spacing w:val="-2"/>
          <w:kern w:val="0"/>
          <w:sz w:val="24"/>
        </w:rPr>
      </w:pPr>
      <w:r>
        <w:rPr>
          <w:rFonts w:ascii="宋体" w:cs="宋体" w:hAnsi="宋体" w:hint="eastAsia"/>
          <w:snapToGrid w:val="0"/>
          <w:color w:val="000000"/>
          <w:spacing w:val="-2"/>
          <w:kern w:val="0"/>
          <w:sz w:val="24"/>
        </w:rPr>
        <w:t>系统需与医院信息系统对接。</w:t>
      </w:r>
    </w:p>
    <w:p>
      <w:pPr>
        <w:keepNext w:val="0"/>
        <w:keepLines w:val="0"/>
        <w:pageBreakBefore w:val="0"/>
        <w:widowControl/>
        <w:numPr>
          <w:ilvl w:val="1"/>
          <w:numId w:val="1"/>
        </w:numPr>
        <w:suppressLineNumbers w:val="0"/>
        <w:kinsoku/>
        <w:wordWrap/>
        <w:overflowPunct/>
        <w:topLinePunct w:val="0"/>
        <w:autoSpaceDE/>
        <w:autoSpaceDN/>
        <w:adjustRightInd/>
        <w:snapToGrid/>
        <w:spacing w:line="425" w:lineRule="atLeast"/>
        <w:ind w:left="417" w:hangingChars="177" w:hanging="417"/>
        <w:jc w:val="left"/>
        <w:rPr>
          <w:rFonts w:ascii="宋体" w:cs="宋体" w:hAnsi="宋体" w:hint="eastAsia"/>
          <w:snapToGrid w:val="0"/>
          <w:color w:val="000000"/>
          <w:spacing w:val="-2"/>
          <w:kern w:val="0"/>
          <w:sz w:val="24"/>
        </w:rPr>
      </w:pPr>
      <w:r>
        <w:rPr>
          <w:rFonts w:ascii="宋体" w:eastAsia="宋体" w:cs="宋体" w:hAnsi="宋体" w:hint="eastAsia"/>
          <w:snapToGrid w:val="0"/>
          <w:color w:val="000000"/>
          <w:spacing w:val="-2"/>
          <w:kern w:val="0"/>
          <w:sz w:val="24"/>
          <w:szCs w:val="24"/>
          <w:lang w:val="en-US" w:eastAsia="zh-CN" w:bidi="ar-SA"/>
        </w:rPr>
        <w:t>量表库</w:t>
      </w:r>
      <w:r>
        <w:rPr>
          <w:rFonts w:ascii="宋体" w:cs="宋体" w:hAnsi="宋体" w:hint="eastAsia"/>
          <w:snapToGrid w:val="0"/>
          <w:color w:val="000000"/>
          <w:spacing w:val="-2"/>
          <w:kern w:val="0"/>
          <w:sz w:val="24"/>
          <w:lang w:val="en-US" w:eastAsia="zh-CN" w:bidi="ar-SA"/>
        </w:rPr>
        <w:t>常用量表≥200个，涵盖儿童到老年各个年龄段。</w:t>
      </w:r>
      <w:r>
        <w:rPr>
          <w:rFonts w:ascii="宋体" w:cs="宋体" w:hAnsi="宋体" w:hint="eastAsia"/>
          <w:snapToGrid w:val="0"/>
          <w:color w:val="000000"/>
          <w:spacing w:val="-2"/>
          <w:kern w:val="0"/>
          <w:sz w:val="24"/>
        </w:rPr>
        <w:t>量表需满足全国医疗服务项目技术规范(2023年版)内容</w:t>
      </w:r>
      <w:r>
        <w:rPr>
          <w:rFonts w:ascii="宋体" w:cs="宋体" w:hAnsi="宋体" w:hint="eastAsia"/>
          <w:snapToGrid w:val="0"/>
          <w:color w:val="000000"/>
          <w:spacing w:val="-2"/>
          <w:kern w:val="0"/>
          <w:sz w:val="24"/>
          <w:lang w:val="en-US" w:eastAsia="zh-CN" w:bidi="ar-SA"/>
        </w:rPr>
        <w:t>。</w:t>
      </w:r>
    </w:p>
    <w:p>
      <w:pPr>
        <w:keepNext w:val="0"/>
        <w:keepLines w:val="0"/>
        <w:pageBreakBefore w:val="0"/>
        <w:widowControl/>
        <w:numPr>
          <w:ilvl w:val="1"/>
          <w:numId w:val="1"/>
        </w:numPr>
        <w:suppressLineNumbers w:val="0"/>
        <w:kinsoku/>
        <w:wordWrap/>
        <w:overflowPunct/>
        <w:topLinePunct w:val="0"/>
        <w:autoSpaceDE/>
        <w:autoSpaceDN/>
        <w:adjustRightInd/>
        <w:snapToGrid/>
        <w:spacing w:line="425" w:lineRule="atLeast"/>
        <w:ind w:left="417" w:hangingChars="177" w:hanging="417"/>
        <w:jc w:val="left"/>
        <w:rPr>
          <w:rFonts w:ascii="宋体" w:cs="宋体" w:hAnsi="宋体" w:hint="eastAsia"/>
          <w:snapToGrid w:val="0"/>
          <w:color w:val="000000"/>
          <w:spacing w:val="-2"/>
          <w:kern w:val="0"/>
          <w:sz w:val="24"/>
        </w:rPr>
      </w:pPr>
      <w:r>
        <w:rPr>
          <w:rFonts w:ascii="宋体" w:cs="宋体" w:hAnsi="宋体" w:hint="eastAsia"/>
          <w:snapToGrid w:val="0"/>
          <w:color w:val="000000"/>
          <w:spacing w:val="-2"/>
          <w:kern w:val="0"/>
          <w:sz w:val="24"/>
        </w:rPr>
        <w:t>系统可实现本院区多科室、多</w:t>
      </w:r>
      <w:bookmarkStart w:id="0" w:name="_GoBack"/>
      <w:bookmarkEnd w:id="0"/>
      <w:r>
        <w:rPr>
          <w:rFonts w:ascii="宋体" w:cs="宋体" w:hAnsi="宋体" w:hint="eastAsia"/>
          <w:snapToGrid w:val="0"/>
          <w:color w:val="000000"/>
          <w:spacing w:val="-2"/>
          <w:kern w:val="0"/>
          <w:sz w:val="24"/>
        </w:rPr>
        <w:t>病区部署，满足多人同时进行不同量表测试</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25" w:lineRule="atLeast"/>
        <w:ind w:left="449" w:hangingChars="177" w:hanging="449"/>
        <w:jc w:val="left"/>
        <w:textAlignment w:val="auto"/>
        <w:rPr>
          <w:rFonts w:ascii="宋体" w:eastAsia="宋体" w:cs="宋体" w:hAnsi="宋体" w:hint="eastAsia"/>
          <w:b/>
          <w:bCs/>
          <w:spacing w:val="7"/>
          <w:sz w:val="24"/>
          <w:szCs w:val="24"/>
          <w:lang w:val="en-US" w:eastAsia="zh-CN"/>
        </w:rPr>
      </w:pPr>
      <w:r>
        <w:rPr>
          <w:rFonts w:ascii="宋体" w:eastAsia="宋体" w:cs="宋体" w:hAnsi="宋体" w:hint="eastAsia"/>
          <w:b/>
          <w:bCs/>
          <w:spacing w:val="7"/>
          <w:sz w:val="24"/>
          <w:szCs w:val="24"/>
          <w:lang w:val="en-US" w:eastAsia="zh-CN"/>
        </w:rPr>
        <w:t>系统其他要求</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可靠性：系统运行稳定可靠，充分考虑冗余问题，要在系统设计范围内保证随着系统数据量的增加，系统性能不出现显著下降。</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hint="eastAsia"/>
        </w:rPr>
      </w:pPr>
      <w:r>
        <w:rPr>
          <w:rFonts w:ascii="宋体" w:eastAsia="宋体" w:cs="宋体" w:hAnsi="宋体" w:hint="eastAsia"/>
          <w:snapToGrid w:val="0"/>
          <w:color w:val="000000"/>
          <w:spacing w:val="-2"/>
          <w:kern w:val="0"/>
          <w:sz w:val="24"/>
          <w:szCs w:val="24"/>
          <w:lang w:val="en-US" w:eastAsia="zh-CN" w:bidi="ar-SA"/>
        </w:rPr>
        <w:t>稳定性：系统架构设计合理，结合必要的集群、热备等手段，保证系统不间断运行。</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数据安全:系统须具备完善的数据安全保护能力，对患者隐私、诊疗数据等敏感信息实现分级分类管理与全生命周期防护。</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易维护性：系统为管理员提供系统设置和维护功能，包括用户权限设置、字段维护、日志监控、数据批量处理、数据备份、数据同步等，让管理员对系统进行各项日常维护操作。</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hint="eastAsia"/>
        </w:rPr>
      </w:pPr>
      <w:r>
        <w:rPr>
          <w:rFonts w:ascii="宋体" w:eastAsia="宋体" w:cs="宋体" w:hAnsi="宋体" w:hint="eastAsia"/>
          <w:snapToGrid w:val="0"/>
          <w:color w:val="000000"/>
          <w:spacing w:val="-2"/>
          <w:kern w:val="0"/>
          <w:sz w:val="24"/>
          <w:szCs w:val="24"/>
          <w:lang w:val="en-US" w:eastAsia="zh-CN" w:bidi="ar-SA"/>
        </w:rPr>
        <w:t>操作性：系统设计符合业界通用规范和习惯用法，满足非专业用户的日常使用。</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25" w:lineRule="atLeast"/>
        <w:ind w:left="449" w:hangingChars="177" w:hanging="449"/>
        <w:jc w:val="left"/>
        <w:textAlignment w:val="auto"/>
        <w:rPr>
          <w:rFonts w:ascii="宋体" w:eastAsia="宋体" w:cs="宋体" w:hAnsi="宋体" w:hint="eastAsia"/>
          <w:b/>
          <w:bCs/>
          <w:spacing w:val="7"/>
          <w:sz w:val="24"/>
          <w:szCs w:val="24"/>
          <w:lang w:val="en-US" w:eastAsia="zh-CN"/>
        </w:rPr>
      </w:pPr>
      <w:r>
        <w:rPr>
          <w:rFonts w:ascii="宋体" w:eastAsia="宋体" w:cs="宋体" w:hAnsi="宋体" w:hint="eastAsia"/>
          <w:b/>
          <w:bCs/>
          <w:spacing w:val="7"/>
          <w:sz w:val="24"/>
          <w:szCs w:val="24"/>
          <w:lang w:val="en-US" w:eastAsia="zh-CN"/>
        </w:rPr>
        <w:t>系统配置要求</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移动测查终端硬件51台。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25" w:lineRule="atLeast"/>
        <w:ind w:left="0" w:firstLineChars="200" w:firstLine="472"/>
        <w:jc w:val="left"/>
        <w:textAlignment w:val="auto"/>
        <w:rPr>
          <w:rFonts w:ascii="宋体" w:eastAsia="宋体" w:cs="宋体" w:hAnsi="宋体" w:hint="eastAsia"/>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操作系统：安卓或鸿蒙；内存：≥6G+128G；屏幕尺寸：≥10.4英寸；</w:t>
      </w:r>
    </w:p>
    <w:p>
      <w:pPr>
        <w:keepNext w:val="0"/>
        <w:keepLines w:val="0"/>
        <w:pageBreakBefore w:val="0"/>
        <w:widowControl/>
        <w:numPr>
          <w:ilvl w:val="1"/>
          <w:numId w:val="1"/>
        </w:numPr>
        <w:suppressLineNumbers w:val="0"/>
        <w:kinsoku/>
        <w:wordWrap/>
        <w:overflowPunct/>
        <w:topLinePunct w:val="0"/>
        <w:autoSpaceDE/>
        <w:autoSpaceDN/>
        <w:bidi w:val="0"/>
        <w:adjustRightInd/>
        <w:snapToGrid/>
        <w:spacing w:line="425" w:lineRule="atLeast"/>
        <w:ind w:left="417" w:hangingChars="177" w:hanging="417"/>
        <w:jc w:val="left"/>
        <w:textAlignment w:val="auto"/>
        <w:rPr>
          <w:rFonts w:ascii="宋体" w:eastAsia="宋体" w:cs="宋体" w:hAnsi="宋体"/>
          <w:snapToGrid w:val="0"/>
          <w:color w:val="000000"/>
          <w:spacing w:val="-2"/>
          <w:kern w:val="0"/>
          <w:sz w:val="24"/>
          <w:szCs w:val="24"/>
          <w:lang w:val="en-US" w:eastAsia="zh-CN" w:bidi="ar-SA"/>
        </w:rPr>
      </w:pPr>
      <w:r>
        <w:rPr>
          <w:rFonts w:ascii="宋体" w:eastAsia="宋体" w:cs="宋体" w:hAnsi="宋体" w:hint="eastAsia"/>
          <w:snapToGrid w:val="0"/>
          <w:color w:val="000000"/>
          <w:spacing w:val="-2"/>
          <w:kern w:val="0"/>
          <w:sz w:val="24"/>
          <w:szCs w:val="24"/>
          <w:lang w:val="en-US" w:eastAsia="zh-CN" w:bidi="ar-SA"/>
        </w:rPr>
        <w:t>移动测查终端软件51套。</w:t>
      </w:r>
    </w:p>
    <w:p>
      <w:pPr>
        <w:keepNext w:val="0"/>
        <w:keepLines w:val="0"/>
        <w:pageBreakBefore w:val="0"/>
        <w:widowControl/>
        <w:numPr>
          <w:ilvl w:val="0"/>
          <w:numId w:val="1"/>
        </w:numPr>
        <w:suppressLineNumbers w:val="0"/>
        <w:kinsoku/>
        <w:wordWrap/>
        <w:overflowPunct/>
        <w:topLinePunct w:val="0"/>
        <w:autoSpaceDE/>
        <w:autoSpaceDN/>
        <w:adjustRightInd/>
        <w:snapToGrid/>
        <w:spacing w:line="425" w:lineRule="atLeast"/>
        <w:ind w:left="449" w:hangingChars="177" w:hanging="449"/>
        <w:jc w:val="left"/>
        <w:rPr>
          <w:rFonts w:ascii="宋体" w:eastAsia="宋体" w:cs="宋体" w:hAnsi="宋体" w:hint="eastAsia"/>
          <w:b/>
          <w:bCs/>
          <w:spacing w:val="7"/>
          <w:sz w:val="24"/>
          <w:szCs w:val="24"/>
          <w:lang w:val="en-US" w:eastAsia="zh-CN"/>
        </w:rPr>
      </w:pPr>
      <w:r>
        <w:rPr>
          <w:rFonts w:ascii="宋体" w:eastAsia="宋体" w:cs="宋体" w:hAnsi="宋体"/>
          <w:b/>
          <w:bCs/>
          <w:spacing w:val="7"/>
          <w:sz w:val="24"/>
          <w:szCs w:val="24"/>
          <w:lang w:val="en-US" w:eastAsia="zh-CN"/>
        </w:rPr>
        <w:t>服务要求</w:t>
      </w:r>
    </w:p>
    <w:p>
      <w:pPr>
        <w:keepNext w:val="0"/>
        <w:keepLines w:val="0"/>
        <w:pageBreakBefore w:val="0"/>
        <w:widowControl/>
        <w:numPr>
          <w:ilvl w:val="1"/>
          <w:numId w:val="1"/>
        </w:numPr>
        <w:suppressLineNumbers w:val="0"/>
        <w:kinsoku/>
        <w:wordWrap/>
        <w:overflowPunct/>
        <w:topLinePunct w:val="0"/>
        <w:autoSpaceDE/>
        <w:autoSpaceDN/>
        <w:adjustRightInd/>
        <w:snapToGrid/>
        <w:spacing w:line="425" w:lineRule="atLeast"/>
        <w:ind w:left="417" w:hangingChars="177" w:hanging="417"/>
        <w:jc w:val="left"/>
        <w:rPr>
          <w:rFonts w:ascii="宋体" w:cs="宋体" w:hAnsi="宋体" w:hint="eastAsia"/>
          <w:snapToGrid w:val="0"/>
          <w:color w:val="000000"/>
          <w:spacing w:val="-2"/>
          <w:kern w:val="0"/>
          <w:sz w:val="24"/>
        </w:rPr>
      </w:pPr>
      <w:r>
        <w:rPr>
          <w:rFonts w:ascii="宋体" w:cs="宋体" w:hAnsi="宋体" w:hint="eastAsia"/>
          <w:snapToGrid w:val="0"/>
          <w:color w:val="000000"/>
          <w:spacing w:val="-2"/>
          <w:kern w:val="0"/>
          <w:sz w:val="24"/>
        </w:rPr>
        <w:t>需完成院内所需科室系统的安装调试，并完成培训工作，项目验收后提供3年的质保时间。</w:t>
      </w:r>
    </w:p>
    <w:p>
      <w:pPr>
        <w:keepNext w:val="0"/>
        <w:keepLines w:val="0"/>
        <w:pageBreakBefore w:val="0"/>
        <w:widowControl/>
        <w:numPr>
          <w:ilvl w:val="0"/>
          <w:numId w:val="1"/>
        </w:numPr>
        <w:suppressLineNumbers w:val="0"/>
        <w:kinsoku/>
        <w:wordWrap/>
        <w:overflowPunct/>
        <w:topLinePunct w:val="0"/>
        <w:autoSpaceDE/>
        <w:autoSpaceDN/>
        <w:adjustRightInd/>
        <w:snapToGrid/>
        <w:spacing w:line="425" w:lineRule="atLeast"/>
        <w:ind w:left="449" w:hangingChars="177" w:hanging="449"/>
        <w:jc w:val="left"/>
        <w:rPr>
          <w:rFonts w:ascii="宋体" w:cs="宋体" w:hAnsi="宋体"/>
          <w:b/>
          <w:bCs/>
          <w:spacing w:val="7"/>
          <w:sz w:val="24"/>
        </w:rPr>
      </w:pPr>
      <w:r>
        <w:rPr>
          <w:rFonts w:ascii="宋体" w:cs="宋体" w:hAnsi="宋体"/>
          <w:b/>
          <w:bCs/>
          <w:spacing w:val="7"/>
          <w:sz w:val="24"/>
        </w:rPr>
        <w:t>系统集成服务</w:t>
      </w:r>
    </w:p>
    <w:p>
      <w:pPr>
        <w:keepNext w:val="0"/>
        <w:keepLines w:val="0"/>
        <w:pageBreakBefore w:val="0"/>
        <w:widowControl/>
        <w:numPr>
          <w:ilvl w:val="1"/>
          <w:numId w:val="1"/>
        </w:numPr>
        <w:suppressLineNumbers w:val="0"/>
        <w:kinsoku/>
        <w:wordWrap/>
        <w:overflowPunct/>
        <w:topLinePunct w:val="0"/>
        <w:autoSpaceDE/>
        <w:autoSpaceDN/>
        <w:adjustRightInd/>
        <w:snapToGrid/>
        <w:spacing w:line="425" w:lineRule="atLeast"/>
        <w:ind w:left="417" w:hangingChars="177" w:hanging="417"/>
        <w:jc w:val="left"/>
        <w:rPr>
          <w:rFonts w:ascii="宋体" w:cs="宋体" w:hAnsi="宋体" w:hint="eastAsia"/>
          <w:snapToGrid w:val="0"/>
          <w:color w:val="000000"/>
          <w:spacing w:val="-2"/>
          <w:kern w:val="0"/>
          <w:sz w:val="24"/>
        </w:rPr>
      </w:pPr>
      <w:r>
        <w:rPr>
          <w:rFonts w:ascii="宋体" w:cs="宋体" w:hAnsi="宋体" w:hint="eastAsia"/>
          <w:snapToGrid w:val="0"/>
          <w:color w:val="000000"/>
          <w:spacing w:val="-2"/>
          <w:kern w:val="0"/>
          <w:sz w:val="24"/>
        </w:rPr>
        <w:t>满足医院现有管理要求，进行</w:t>
      </w:r>
      <w:r>
        <w:rPr>
          <w:rFonts w:ascii="宋体" w:cs="宋体" w:hAnsi="宋体"/>
          <w:snapToGrid w:val="0"/>
          <w:color w:val="000000"/>
          <w:spacing w:val="-2"/>
          <w:kern w:val="0"/>
          <w:sz w:val="24"/>
        </w:rPr>
        <w:t>心理CT系统</w:t>
      </w:r>
      <w:r>
        <w:rPr>
          <w:rFonts w:ascii="宋体" w:cs="宋体" w:hAnsi="宋体" w:hint="eastAsia"/>
          <w:snapToGrid w:val="0"/>
          <w:color w:val="000000"/>
          <w:spacing w:val="-2"/>
          <w:kern w:val="0"/>
          <w:sz w:val="24"/>
        </w:rPr>
        <w:t>定制化开发，统一管理；</w:t>
      </w:r>
    </w:p>
    <w:p>
      <w:pPr>
        <w:keepNext w:val="0"/>
        <w:keepLines w:val="0"/>
        <w:pageBreakBefore w:val="0"/>
        <w:widowControl/>
        <w:numPr>
          <w:ilvl w:val="1"/>
          <w:numId w:val="1"/>
        </w:numPr>
        <w:suppressLineNumbers w:val="0"/>
        <w:kinsoku/>
        <w:wordWrap/>
        <w:overflowPunct/>
        <w:topLinePunct w:val="0"/>
        <w:autoSpaceDE/>
        <w:autoSpaceDN/>
        <w:adjustRightInd/>
        <w:snapToGrid/>
        <w:spacing w:line="425" w:lineRule="atLeast"/>
        <w:ind w:left="417" w:hangingChars="177" w:hanging="417"/>
        <w:jc w:val="left"/>
        <w:rPr>
          <w:rFonts w:ascii="宋体" w:cs="宋体" w:hAnsi="宋体" w:hint="eastAsia"/>
          <w:snapToGrid w:val="0"/>
          <w:color w:val="000000"/>
          <w:spacing w:val="-2"/>
          <w:kern w:val="0"/>
          <w:sz w:val="24"/>
        </w:rPr>
      </w:pPr>
      <w:r>
        <w:rPr>
          <w:rFonts w:ascii="宋体" w:cs="宋体" w:hAnsi="宋体" w:hint="eastAsia"/>
          <w:snapToGrid w:val="0"/>
          <w:color w:val="000000"/>
          <w:spacing w:val="-2"/>
          <w:kern w:val="0"/>
          <w:sz w:val="24"/>
        </w:rPr>
        <w:t>完成与医院业务系统(HIS、LIS、PACS、EMR、护理系统、集成平台等)对接工作，并保证系统正常运行，满足医院现有管理要求，统一管理。所有软件接口对接费用、产品安装实施及网络布线所产生的人工及耗材费用均由公司全部承担，医院不再额外支付费用。</w:t>
      </w:r>
    </w:p>
    <w:p>
      <w:pPr>
        <w:keepNext w:val="0"/>
        <w:keepLines w:val="0"/>
        <w:pageBreakBefore w:val="0"/>
        <w:widowControl/>
        <w:numPr>
          <w:ilvl w:val="1"/>
          <w:numId w:val="1"/>
        </w:numPr>
        <w:suppressLineNumbers w:val="0"/>
        <w:kinsoku/>
        <w:wordWrap/>
        <w:overflowPunct/>
        <w:topLinePunct w:val="0"/>
        <w:autoSpaceDE/>
        <w:autoSpaceDN/>
        <w:adjustRightInd/>
        <w:snapToGrid/>
        <w:spacing w:line="425" w:lineRule="atLeast"/>
        <w:ind w:left="417" w:hangingChars="177" w:hanging="417"/>
        <w:jc w:val="left"/>
        <w:rPr>
          <w:rFonts w:ascii="宋体" w:cs="宋体" w:hAnsi="宋体" w:hint="eastAsia"/>
          <w:snapToGrid w:val="0"/>
          <w:color w:val="000000"/>
          <w:spacing w:val="-2"/>
          <w:kern w:val="0"/>
          <w:sz w:val="24"/>
        </w:rPr>
      </w:pPr>
      <w:r>
        <w:rPr>
          <w:rFonts w:ascii="宋体" w:cs="宋体" w:hAnsi="宋体" w:hint="eastAsia"/>
          <w:snapToGrid w:val="0"/>
          <w:color w:val="000000"/>
          <w:spacing w:val="-2"/>
          <w:kern w:val="0"/>
          <w:sz w:val="24"/>
        </w:rPr>
        <w:t>包含本项目范围内所必须支架、电源线、管线等材料。</w:t>
      </w:r>
    </w:p>
    <w:p>
      <w:pPr>
        <w:keepNext w:val="0"/>
        <w:keepLines w:val="0"/>
        <w:pageBreakBefore w:val="0"/>
        <w:widowControl/>
        <w:numPr>
          <w:ilvl w:val="1"/>
          <w:numId w:val="1"/>
        </w:numPr>
        <w:suppressLineNumbers w:val="0"/>
        <w:kinsoku/>
        <w:wordWrap/>
        <w:overflowPunct/>
        <w:topLinePunct w:val="0"/>
        <w:autoSpaceDE/>
        <w:autoSpaceDN/>
        <w:adjustRightInd/>
        <w:snapToGrid/>
        <w:spacing w:line="425" w:lineRule="atLeast"/>
        <w:ind w:left="417" w:hangingChars="177" w:hanging="417"/>
        <w:jc w:val="left"/>
        <w:rPr>
          <w:rFonts w:ascii="宋体" w:cs="宋体" w:hAnsi="宋体" w:hint="eastAsia"/>
          <w:snapToGrid w:val="0"/>
          <w:color w:val="000000"/>
          <w:spacing w:val="-2"/>
          <w:kern w:val="0"/>
          <w:sz w:val="24"/>
        </w:rPr>
      </w:pPr>
      <w:r>
        <w:rPr>
          <w:rFonts w:ascii="宋体" w:cs="宋体" w:hAnsi="宋体" w:hint="eastAsia"/>
          <w:snapToGrid w:val="0"/>
          <w:color w:val="000000"/>
          <w:spacing w:val="-2"/>
          <w:kern w:val="0"/>
          <w:sz w:val="24"/>
        </w:rPr>
        <w:t>本项目涉及所有产品软件承载的服务资源适配院方现有云资源环境。费用均由公司全部承担，医院不再额外支付费用。</w:t>
      </w:r>
    </w:p>
    <w:p>
      <w:pPr>
        <w:keepNext w:val="0"/>
        <w:keepLines w:val="0"/>
        <w:pageBreakBefore w:val="0"/>
        <w:widowControl/>
        <w:numPr>
          <w:ilvl w:val="1"/>
          <w:numId w:val="1"/>
        </w:numPr>
        <w:suppressLineNumbers w:val="0"/>
        <w:kinsoku/>
        <w:wordWrap/>
        <w:overflowPunct/>
        <w:topLinePunct w:val="0"/>
        <w:autoSpaceDE/>
        <w:autoSpaceDN/>
        <w:adjustRightInd/>
        <w:snapToGrid/>
        <w:spacing w:line="425" w:lineRule="atLeast"/>
        <w:ind w:left="417" w:hangingChars="177" w:hanging="417"/>
        <w:jc w:val="left"/>
        <w:rPr>
          <w:rFonts w:ascii="宋体" w:cs="宋体" w:hAnsi="宋体" w:hint="eastAsia"/>
          <w:snapToGrid w:val="0"/>
          <w:color w:val="000000"/>
          <w:spacing w:val="-2"/>
          <w:kern w:val="0"/>
          <w:sz w:val="24"/>
        </w:rPr>
      </w:pPr>
      <w:r>
        <w:rPr>
          <w:rFonts w:ascii="宋体" w:cs="宋体" w:hAnsi="宋体" w:hint="eastAsia"/>
          <w:snapToGrid w:val="0"/>
          <w:color w:val="000000"/>
          <w:spacing w:val="-2"/>
          <w:kern w:val="0"/>
          <w:sz w:val="24"/>
        </w:rPr>
        <w:t>配合医院信息系统安全等级保护认证2.0三级测评工作。</w:t>
      </w:r>
    </w:p>
    <w:p/>
    <w:p>
      <w:pPr>
        <w:pStyle w:val="15"/>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7A"/>
    <w:family w:val="auto"/>
    <w:pitch w:val="variable"/>
    <w:sig w:usb0="00000203" w:usb1="288F0000" w:usb2="00000006" w:usb3="00000000" w:csb0="00040001" w:csb1="00000000"/>
  </w:font>
  <w:font w:name="Times New Roman">
    <w:panose1 w:val="02020603050405020304"/>
    <w:charset w:val="86"/>
    <w:family w:val="auto"/>
    <w:pitch w:val="variable"/>
    <w:sig w:usb0="E0002EFF" w:usb1="C000785B" w:usb2="00000009" w:usb3="00000000" w:csb0="400001FF" w:csb1="FFFF0000"/>
  </w:font>
  <w:font w:name="Arial">
    <w:panose1 w:val="020B0604020202020204"/>
    <w:charset w:val="01"/>
    <w:family w:val="swiss"/>
    <w:pitch w:val="variable"/>
    <w:sig w:usb0="E0002EFF" w:usb1="C000785B" w:usb2="00000009" w:usb3="00000000" w:csb0="400001FF" w:csb1="FFFF0000"/>
  </w:font>
  <w:font w:name="Calibri">
    <w:panose1 w:val="020F0502020204030204"/>
    <w:charset w:val="00"/>
    <w:family w:val="swiss"/>
    <w:pitch w:val="variable"/>
    <w:sig w:usb0="E4002EFF" w:usb1="C200247B" w:usb2="00000009" w:usb3="00000000" w:csb0="200001FF" w:csb1="00000000"/>
  </w:font>
  <w:font w:name="黑体">
    <w:panose1 w:val="02010609060101010101"/>
    <w:charset w:val="86"/>
    <w:family w:val="auto"/>
    <w:pitch w:val="variable"/>
    <w:sig w:usb0="800002BF" w:usb1="38CF7CFA" w:usb2="00000016" w:usb3="00000000" w:csb0="00040001"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DCCC6FEC"/>
    <w:multiLevelType w:val="multilevel"/>
    <w:tmpl w:val="DCCC6FEC"/>
    <w:lvl w:ilvl="0">
      <w:start w:val="1"/>
      <w:numFmt w:val="decimal"/>
      <w:lvlRestart w:val="0"/>
      <w:lvlText w:val="%1."/>
      <w:lvlJc w:val="left"/>
      <w:pPr>
        <w:ind w:left="425" w:hanging="425"/>
      </w:pPr>
      <w:rPr>
        <w:rFonts w:hint="default"/>
      </w:rPr>
    </w:lvl>
    <w:lvl w:ilvl="1">
      <w:start w:val="1"/>
      <w:numFmt w:val="decimal"/>
      <w:suff w:val="space"/>
      <w:lvlText w:val="%1.%2."/>
      <w:lvlJc w:val="left"/>
      <w:pPr>
        <w:ind w:left="567" w:hanging="567"/>
      </w:pPr>
      <w:rPr>
        <w:rFonts w:ascii="Times New Roman" w:hAnsi="Times New Roman" w:cs="Times New Roman" w:hint="default"/>
        <w:sz w:val="22"/>
        <w:szCs w:val="22"/>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doNotIncludeSubdocsInStat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next w:val="15"/>
    <w:pPr>
      <w:widowControl w:val="0"/>
      <w:jc w:val="both"/>
    </w:pPr>
    <w:rPr>
      <w:rFonts w:ascii="Calibri" w:eastAsia="宋体" w:cs="Arial" w:hAnsi="Calibri"/>
      <w:kern w:val="2"/>
      <w:sz w:val="21"/>
      <w:szCs w:val="24"/>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Arial" w:hAnsi="Calibri"/>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Arial" w:hAnsi="Times New Roman"/>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Calibri" w:eastAsia="宋体" w:cs="Arial" w:hAnsi="Calibri"/>
      <w:b/>
      <w:bCs/>
      <w:kern w:val="2"/>
      <w:sz w:val="32"/>
      <w:szCs w:val="32"/>
      <w:lang w:val="en-US" w:eastAsia="zh-CN" w:bidi="ar-SA"/>
    </w:rPr>
  </w:style>
  <w:style w:type="character" w:default="1" w:styleId="10">
    <w:name w:val="Default Paragraph Font"/>
    <w:qFormat/>
  </w:style>
  <w:style w:type="paragraph" w:styleId="15">
    <w:name w:val="Body Text 2"/>
    <w:qFormat/>
    <w:basedOn w:val="0"/>
    <w:pPr>
      <w:spacing w:after="120" w:line="480" w:lineRule="auto"/>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customXml" Target="../customXml/item1.xml"/><Relationship Id="rId6" Type="http://schemas.openxmlformats.org/officeDocument/2006/relationships/theme" Target="theme/theme1.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mpd="sng" cap="flat">
          <a:solidFill>
            <a:schemeClr val="phClr"/>
          </a:solidFill>
          <a:prstDash val="solid"/>
          <a:miter/>
        </a:ln>
        <a:ln w="12700" cmpd="sng" cap="flat">
          <a:solidFill>
            <a:schemeClr val="phClr"/>
          </a:solidFill>
          <a:prstDash val="solid"/>
          <a:miter/>
        </a:ln>
        <a:ln w="12700" cmpd="sng" cap="flat">
          <a:gradFill rotWithShape="1">
            <a:gsLst>
              <a:gs pos="0">
                <a:schemeClr val="phClr">
                  <a:hueOff val="-4200000"/>
                </a:schemeClr>
              </a:gs>
              <a:gs pos="100000">
                <a:schemeClr val="phClr"/>
              </a:gs>
            </a:gsLst>
            <a:lin ang="2700000" scaled="1"/>
          </a:gradFill>
          <a:prstDash val="solid"/>
          <a:miter/>
        </a:ln>
      </a:lnStyleLst>
      <a:effectStyleLst>
        <a:effectStyle>
          <a:effectLst>
            <a:outerShdw sx="100000" sy="100000" algn="ctr" rotWithShape="0" blurRad="101600" dist="50800" dir="5400000">
              <a:schemeClr val="phClr">
                <a:alpha val="60000"/>
              </a:schemeClr>
            </a:outerShdw>
          </a:effectLst>
        </a:effectStyle>
        <a:effectStyle>
          <a:effectLst>
            <a:reflection stA="50000" endA="300" endPos="40000" dist="25400" dir="5400000" sy="-100000" algn="bl" rotWithShape="0"/>
          </a:effectLst>
        </a:effectStyle>
        <a:effectStyle>
          <a:effectLst>
            <a:outerShdw sx="100000" sy="100000" algn="ctr"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EF39E031-77C9-4909-BDDA-374E54B3686F}">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1415</TotalTime>
  <Application>WPS_Yozo_Office9.0.7350.101ZH.SC35</Application>
  <Pages>2</Pages>
  <Words>0</Words>
  <Characters>983</Characters>
  <Lines>0</Lines>
  <Paragraphs>40</Paragraphs>
  <CharactersWithSpaces>1311</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gllww</dc:creator>
  <cp:lastModifiedBy>Administrator</cp:lastModifiedBy>
  <cp:revision>8</cp:revision>
  <dcterms:created xsi:type="dcterms:W3CDTF">2026-10-23T02:36:00Z</dcterms:created>
  <dcterms:modified xsi:type="dcterms:W3CDTF">2026-10-26T01:41:24Z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2052-12.1.0.29161</vt:lpwstr>
  </property>
  <property fmtid="{D5CDD505-2E9C-101B-9397-08002B2CF9AE}" pid="3" name="KSOTemplateDocerSaveRecord">
    <vt:lpwstr>eyJoZGlkIjoiOWEyOGYzMjU2YWExMzE0YjJiMTk5N2M5ZGJiZWJmY2MiLCJ1c2VySWQiOiI1MjM1MjU2NjMifQ==</vt:lpwstr>
  </property>
  <property fmtid="{D5CDD505-2E9C-101B-9397-08002B2CF9AE}" pid="4" name="ICV">
    <vt:lpwstr>0FB552EDC17F4DEF8302A3F3481A9F78_12</vt:lpwstr>
  </property>
</Properties>
</file>