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0C412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仿宋" w:hAnsi="仿宋" w:eastAsia="仿宋" w:cs="仿宋"/>
          <w:b/>
          <w:bCs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vertAlign w:val="baseline"/>
          <w:lang w:val="en-US" w:eastAsia="zh-CN"/>
        </w:rPr>
        <w:t>附件</w:t>
      </w:r>
    </w:p>
    <w:p w14:paraId="17C4B807">
      <w:pPr>
        <w:pStyle w:val="3"/>
        <w:numPr>
          <w:ilvl w:val="0"/>
          <w:numId w:val="0"/>
        </w:numPr>
        <w:bidi w:val="0"/>
        <w:ind w:leftChars="0"/>
        <w:jc w:val="both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一、核心功能</w:t>
      </w:r>
    </w:p>
    <w:p w14:paraId="1B3C5C2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  <w:t>1、翻墙行为阻断：精准识别并阻断翻墙行为，管控范围全面，情报实时自动更新</w:t>
      </w:r>
    </w:p>
    <w:p w14:paraId="6DDE52C6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  <w:t>进一步加强翻墙行为的监测和管控范围，情报实时自动更新；</w:t>
      </w:r>
    </w:p>
    <w:p w14:paraId="3BC58D76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  <w:t>翻墙治理网关提供上百种主流网络代理应用监测，实时针对翻墙行为进行应用层面识别和阻断;</w:t>
      </w:r>
    </w:p>
    <w:p w14:paraId="4FE89040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  <w:t>翻墙治理网关内置境外URL情报数据，从目的IP地址层面对涉外访问进行全量管控;</w:t>
      </w:r>
    </w:p>
    <w:p w14:paraId="6EB91FFE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  <w:t>翻墙治理网关内置多种类型恶意网址库，进一步净化单位上网环境，规范意识形态，避免潜移默化的思想荼毒。</w:t>
      </w:r>
    </w:p>
    <w:p w14:paraId="6CBCC4E9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  <w:t>2、翻墙行为溯源：翻墙治理网关针对单位内的翻墙行为进行精准识别并有效阻断，记录访问者的详细信息便于进一步追踪溯源。</w:t>
      </w:r>
    </w:p>
    <w:p w14:paraId="3F31DD4B"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  <w:t>日志审计：翻墙治理网关提供全量的网络访问日志，满足相关网络安全法规的180天日志留存合规性要求。</w:t>
      </w:r>
    </w:p>
    <w:p w14:paraId="3020DB3F"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  <w:t>支持记录IPS日志、AV日志，支持中文显示，支持导出功能。（提供功能界面截图并加盖供应商公章）</w:t>
      </w:r>
    </w:p>
    <w:p w14:paraId="6ACDE59F"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  <w:t>支持与主流的终端准入厂家（如：北信源、奇安信、深信服等主流终端准入系统）联动，有效的保护合法终端的接入安全。（提供功能界面截图并加盖供应商公章）。</w:t>
      </w:r>
    </w:p>
    <w:p w14:paraId="1F1C7F38"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  <w:t>违规上网行为识别和阻断功能模块，至少具备五类情报特征库，每一类特征库不得为空，特征数量总计不低于15万。（提供功能界面截图并加盖供应商公章）。</w:t>
      </w:r>
    </w:p>
    <w:p w14:paraId="57CE78C1"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  <w:t>设备除提供翻墙治理功能外，还提供IPS入侵防御、病毒防护、URL过滤、应用审计等功能，并提供情报库、特征库动态更新。（提供功能界面截图并加盖供应商公章）。</w:t>
      </w:r>
    </w:p>
    <w:p w14:paraId="0EB8C21B"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  <w:t>支持自动生成周报、月报和专项分析报告，内容至少包括：跨境访问分析、攻击防护情况、失陷主机情况等。（提供功能界面截图并加盖供应商公章）。</w:t>
      </w:r>
    </w:p>
    <w:p w14:paraId="621CAF6C"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  <w:t>支持短信、邮件等方式发送告警通知；支持按风险等级、时间段设置通知策略；（提供功能界面截图并加盖供应商公章）。</w:t>
      </w:r>
    </w:p>
    <w:p w14:paraId="5910E017"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  <w:t>自定义阻断策略：翻墙治理网关支持自定义阻断策略，可根据单位的实际需求，配置相应的阻断策略，拦截指定的IP/域名地址。</w:t>
      </w:r>
    </w:p>
    <w:p w14:paraId="2A788D23">
      <w:pPr>
        <w:pStyle w:val="3"/>
        <w:numPr>
          <w:ilvl w:val="0"/>
          <w:numId w:val="0"/>
        </w:numPr>
        <w:bidi w:val="0"/>
        <w:ind w:leftChars="0"/>
        <w:jc w:val="both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二、满足国家要求的对照关系</w:t>
      </w:r>
    </w:p>
    <w:tbl>
      <w:tblPr>
        <w:tblStyle w:val="8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7"/>
        <w:gridCol w:w="5173"/>
      </w:tblGrid>
      <w:tr w14:paraId="5CCA8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4" w:type="pct"/>
            <w:noWrap w:val="0"/>
            <w:vAlign w:val="center"/>
          </w:tcPr>
          <w:p w14:paraId="6C97AF9E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  <w14:ligatures w14:val="none"/>
              </w:rPr>
              <w:t>专项行动要求</w:t>
            </w:r>
          </w:p>
        </w:tc>
        <w:tc>
          <w:tcPr>
            <w:tcW w:w="3035" w:type="pct"/>
            <w:noWrap w:val="0"/>
            <w:vAlign w:val="center"/>
          </w:tcPr>
          <w:p w14:paraId="416A90F4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lang w:val="en-US" w:eastAsia="zh-CN"/>
                <w14:ligatures w14:val="none"/>
              </w:rPr>
              <w:t>翻墙治理网关对应能力</w:t>
            </w:r>
          </w:p>
        </w:tc>
      </w:tr>
      <w:tr w14:paraId="24196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4" w:type="pct"/>
            <w:noWrap w:val="0"/>
            <w:vAlign w:val="center"/>
          </w:tcPr>
          <w:p w14:paraId="0BC3ACEA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  <w14:ligatures w14:val="none"/>
              </w:rPr>
              <w:t>打击非法VPN翻墙行为</w:t>
            </w:r>
          </w:p>
        </w:tc>
        <w:tc>
          <w:tcPr>
            <w:tcW w:w="3035" w:type="pct"/>
            <w:noWrap w:val="0"/>
            <w:vAlign w:val="center"/>
          </w:tcPr>
          <w:p w14:paraId="2E366932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  <w14:ligatures w14:val="none"/>
              </w:rPr>
              <w:t>国家级情报库精准识别境内非法VPN节点并阻断</w:t>
            </w:r>
          </w:p>
        </w:tc>
      </w:tr>
      <w:tr w14:paraId="24CAD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4" w:type="pct"/>
            <w:noWrap w:val="0"/>
            <w:vAlign w:val="center"/>
          </w:tcPr>
          <w:p w14:paraId="54F7B3D1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  <w14:ligatures w14:val="none"/>
              </w:rPr>
              <w:t>监测非法域名访问及DNS解析</w:t>
            </w:r>
          </w:p>
        </w:tc>
        <w:tc>
          <w:tcPr>
            <w:tcW w:w="3035" w:type="pct"/>
            <w:noWrap w:val="0"/>
            <w:vAlign w:val="center"/>
          </w:tcPr>
          <w:p w14:paraId="3BA9D579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  <w14:ligatures w14:val="none"/>
              </w:rPr>
              <w:t>实时监测并识别非法域名访问行为</w:t>
            </w:r>
          </w:p>
        </w:tc>
      </w:tr>
      <w:tr w14:paraId="2D285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4" w:type="pct"/>
            <w:noWrap w:val="0"/>
            <w:vAlign w:val="center"/>
          </w:tcPr>
          <w:p w14:paraId="5F40F903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  <w14:ligatures w14:val="none"/>
              </w:rPr>
              <w:t>监测Telegram等境外加密通信</w:t>
            </w:r>
          </w:p>
        </w:tc>
        <w:tc>
          <w:tcPr>
            <w:tcW w:w="3035" w:type="pct"/>
            <w:noWrap w:val="0"/>
            <w:vAlign w:val="center"/>
          </w:tcPr>
          <w:p w14:paraId="4718412A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  <w14:ligatures w14:val="none"/>
              </w:rPr>
              <w:t>精准识别Telegram等境外加密聊天工具的访问</w:t>
            </w:r>
          </w:p>
        </w:tc>
      </w:tr>
      <w:tr w14:paraId="6AB62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4" w:type="pct"/>
            <w:noWrap w:val="0"/>
            <w:vAlign w:val="center"/>
          </w:tcPr>
          <w:p w14:paraId="0E062355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  <w14:ligatures w14:val="none"/>
              </w:rPr>
              <w:t>日志留存不少于180天</w:t>
            </w:r>
          </w:p>
        </w:tc>
        <w:tc>
          <w:tcPr>
            <w:tcW w:w="3035" w:type="pct"/>
            <w:noWrap w:val="0"/>
            <w:vAlign w:val="center"/>
          </w:tcPr>
          <w:p w14:paraId="4B9D0B28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  <w14:ligatures w14:val="none"/>
              </w:rPr>
              <w:t>支持云/本地日志留存，满足180天以上保存要求</w:t>
            </w:r>
          </w:p>
        </w:tc>
      </w:tr>
      <w:tr w14:paraId="72F89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64" w:type="pct"/>
            <w:noWrap w:val="0"/>
            <w:vAlign w:val="center"/>
          </w:tcPr>
          <w:p w14:paraId="7C7357B3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  <w14:ligatures w14:val="none"/>
              </w:rPr>
              <w:t>定位翻墙行为责任人</w:t>
            </w:r>
          </w:p>
        </w:tc>
        <w:tc>
          <w:tcPr>
            <w:tcW w:w="3035" w:type="pct"/>
            <w:noWrap w:val="0"/>
            <w:vAlign w:val="center"/>
          </w:tcPr>
          <w:p w14:paraId="548BBBF0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  <w14:ligatures w14:val="none"/>
              </w:rPr>
              <w:t>精准定位到具体终端IP和人员身份</w:t>
            </w:r>
          </w:p>
        </w:tc>
      </w:tr>
    </w:tbl>
    <w:p w14:paraId="0C7A20A1">
      <w:pPr>
        <w:pStyle w:val="3"/>
        <w:numPr>
          <w:ilvl w:val="0"/>
          <w:numId w:val="0"/>
        </w:numPr>
        <w:bidi w:val="0"/>
        <w:ind w:leftChars="0"/>
        <w:jc w:val="both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三、服务保障体系</w:t>
      </w:r>
    </w:p>
    <w:p w14:paraId="69C77CB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  <w:t>1、7X24小时服务保障:提供全天候技术支持和故障响应服务；</w:t>
      </w:r>
    </w:p>
    <w:p w14:paraId="61358E35">
      <w:pPr>
        <w:pStyle w:val="2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  <w:t>属地化服务团队:常驻本地化服务团队，确保故障响应及时高效;</w:t>
      </w:r>
    </w:p>
    <w:p w14:paraId="480CD12C">
      <w:pPr>
        <w:pStyle w:val="2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  <w:t>情报库实时更新:国家级情报库实时更新，确保对新型翻墙手段的持续有效识别；</w:t>
      </w:r>
    </w:p>
    <w:p w14:paraId="42484346">
      <w:pPr>
        <w:pStyle w:val="2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  <w:t>定期巡检服务:定期提供设备巡检和策略优化服务；</w:t>
      </w:r>
    </w:p>
    <w:p w14:paraId="3E5960C5">
      <w:pPr>
        <w:pStyle w:val="2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  <w:t>通报应急响应:如医院收到翻墙通报，技术团队必须快速到场协助排查和整改;</w:t>
      </w:r>
    </w:p>
    <w:p w14:paraId="41D9BF4F">
      <w:pPr>
        <w:pStyle w:val="2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  <w:t>重大活动保障:在网络安全攻防演习、重大活动期间提供驻场保障服务</w:t>
      </w:r>
    </w:p>
    <w:p w14:paraId="69B6705F">
      <w:pPr>
        <w:pStyle w:val="3"/>
        <w:numPr>
          <w:ilvl w:val="0"/>
          <w:numId w:val="0"/>
        </w:numPr>
        <w:bidi w:val="0"/>
        <w:ind w:leftChars="0"/>
        <w:jc w:val="both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四、售后服务内容</w:t>
      </w:r>
    </w:p>
    <w:tbl>
      <w:tblPr>
        <w:tblStyle w:val="8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6"/>
        <w:gridCol w:w="6794"/>
      </w:tblGrid>
      <w:tr w14:paraId="31545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 w14:paraId="21B83506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服务项目</w:t>
            </w:r>
          </w:p>
        </w:tc>
        <w:tc>
          <w:tcPr>
            <w:tcW w:w="6794" w:type="dxa"/>
            <w:noWrap w:val="0"/>
            <w:vAlign w:val="top"/>
          </w:tcPr>
          <w:p w14:paraId="10A883A9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服务内容</w:t>
            </w:r>
          </w:p>
        </w:tc>
      </w:tr>
      <w:tr w14:paraId="62448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 w14:paraId="3D416B97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系统运维</w:t>
            </w:r>
          </w:p>
        </w:tc>
        <w:tc>
          <w:tcPr>
            <w:tcW w:w="6794" w:type="dxa"/>
            <w:noWrap w:val="0"/>
            <w:vAlign w:val="top"/>
          </w:tcPr>
          <w:p w14:paraId="24466665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设备运行状态监控、系统升级、补丁更新</w:t>
            </w:r>
          </w:p>
        </w:tc>
      </w:tr>
      <w:tr w14:paraId="2C44F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 w14:paraId="54FB4FBE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策略优化</w:t>
            </w:r>
          </w:p>
        </w:tc>
        <w:tc>
          <w:tcPr>
            <w:tcW w:w="6794" w:type="dxa"/>
            <w:noWrap w:val="0"/>
            <w:vAlign w:val="top"/>
          </w:tcPr>
          <w:p w14:paraId="0F0973D4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根据实际情况调整检测策略和告警阈值</w:t>
            </w:r>
          </w:p>
        </w:tc>
      </w:tr>
      <w:tr w14:paraId="78D7A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 w14:paraId="6E1F3BC9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日志服务</w:t>
            </w:r>
          </w:p>
        </w:tc>
        <w:tc>
          <w:tcPr>
            <w:tcW w:w="6794" w:type="dxa"/>
            <w:noWrap w:val="0"/>
            <w:vAlign w:val="top"/>
          </w:tcPr>
          <w:p w14:paraId="778EAA78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日志存储管理、日志分析、报表生成</w:t>
            </w:r>
          </w:p>
        </w:tc>
      </w:tr>
      <w:tr w14:paraId="2012F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 w14:paraId="2F505BC0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应急响应</w:t>
            </w:r>
          </w:p>
        </w:tc>
        <w:tc>
          <w:tcPr>
            <w:tcW w:w="6794" w:type="dxa"/>
            <w:noWrap w:val="0"/>
            <w:vAlign w:val="top"/>
          </w:tcPr>
          <w:p w14:paraId="0896C763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通报事件排查、翻墙事件溯源分析</w:t>
            </w:r>
          </w:p>
        </w:tc>
      </w:tr>
      <w:tr w14:paraId="05BB1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6" w:type="dxa"/>
            <w:noWrap w:val="0"/>
            <w:vAlign w:val="top"/>
          </w:tcPr>
          <w:p w14:paraId="2486A1B5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培训服务</w:t>
            </w:r>
          </w:p>
        </w:tc>
        <w:tc>
          <w:tcPr>
            <w:tcW w:w="6794" w:type="dxa"/>
            <w:noWrap w:val="0"/>
            <w:vAlign w:val="top"/>
          </w:tcPr>
          <w:p w14:paraId="4F118B95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管理员操作培训、全员网络安全意识培训</w:t>
            </w:r>
          </w:p>
        </w:tc>
      </w:tr>
    </w:tbl>
    <w:p w14:paraId="421C5488">
      <w:pPr>
        <w:pStyle w:val="3"/>
        <w:numPr>
          <w:ilvl w:val="0"/>
          <w:numId w:val="0"/>
        </w:numPr>
        <w:bidi w:val="0"/>
        <w:ind w:leftChars="0"/>
        <w:jc w:val="both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五、商务要求</w:t>
      </w:r>
    </w:p>
    <w:p w14:paraId="144C92FB">
      <w:pPr>
        <w:pStyle w:val="2"/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Chars="0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  <w:t>服务期限：自合同签订生效之日起15个工作日内，完成设备部署、策略调试、系统上线、试运行验收工作；整体服务周期为1年，期满可根据服务考核情况协商续购。</w:t>
      </w:r>
    </w:p>
    <w:p w14:paraId="0A9FA34F">
      <w:pPr>
        <w:pStyle w:val="2"/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Chars="0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  <w:t>服务地点：采购人指定地点；</w:t>
      </w:r>
    </w:p>
    <w:p w14:paraId="18D95344">
      <w:pPr>
        <w:pStyle w:val="2"/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Chars="0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  <w:t>付款方式：本项目为年度包干付费模式，年度总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  <w:t>价包含设备运维、情报更新、策略优化、巡检、应急响应、安全培训、合规日志留存等全部服务内容，无任何隐形及额外收费。项目部署调试完毕并正常运行后，供应商开具合规增值税发票，采购人凭验收资料及发票一次性支付全年服务费用。</w:t>
      </w:r>
    </w:p>
    <w:p w14:paraId="3036AE45">
      <w:pPr>
        <w:pStyle w:val="2"/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  <w:t>考核与续约要求：服务期内采购人对服务响应速度、故障处置、策略优化、问题整改等服务质量进行月度、年度考核，考核合格可优先续约；服务不达标、响应不及时的，采购人有权按合同约定终止服务合同。</w:t>
      </w:r>
    </w:p>
    <w:p w14:paraId="19ED8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baseline"/>
          <w:lang w:val="en-US" w:eastAsia="zh-CN"/>
        </w:rPr>
        <w:t>5、其他要求：服务期内供应商需严格遵守采购人网络安全管理规定，保障单位网络数据安全、信息保密，不得泄露单位内网数据、访问日志、用户信息等涉密内容，承担相应保密责任。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3D8AD8"/>
    <w:multiLevelType w:val="multilevel"/>
    <w:tmpl w:val="9C3D8AD8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  <w:lvl w:ilvl="1" w:tentative="0">
      <w:start w:val="1"/>
      <w:numFmt w:val="decimalEnclosedCircleChinese"/>
      <w:lvlText w:val="%2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"/>
      <w:lvlText w:val="%3)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lowerLetter"/>
      <w:lvlText w:val="%4.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Roman"/>
      <w:lvlText w:val="%6.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)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)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1">
    <w:nsid w:val="B71EE36C"/>
    <w:multiLevelType w:val="singleLevel"/>
    <w:tmpl w:val="B71EE36C"/>
    <w:lvl w:ilvl="0" w:tentative="0">
      <w:start w:val="3"/>
      <w:numFmt w:val="decimal"/>
      <w:suff w:val="nothing"/>
      <w:lvlText w:val="%1、"/>
      <w:lvlJc w:val="left"/>
    </w:lvl>
  </w:abstractNum>
  <w:abstractNum w:abstractNumId="2">
    <w:nsid w:val="C6066143"/>
    <w:multiLevelType w:val="singleLevel"/>
    <w:tmpl w:val="C6066143"/>
    <w:lvl w:ilvl="0" w:tentative="0">
      <w:start w:val="2"/>
      <w:numFmt w:val="decimal"/>
      <w:suff w:val="nothing"/>
      <w:lvlText w:val="%1、"/>
      <w:lvlJc w:val="left"/>
    </w:lvl>
  </w:abstractNum>
  <w:abstractNum w:abstractNumId="3">
    <w:nsid w:val="FD495CBB"/>
    <w:multiLevelType w:val="singleLevel"/>
    <w:tmpl w:val="FD495CBB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FDFB1011"/>
    <w:multiLevelType w:val="multilevel"/>
    <w:tmpl w:val="FDFB1011"/>
    <w:lvl w:ilvl="0" w:tentative="0">
      <w:start w:val="1"/>
      <w:numFmt w:val="none"/>
      <w:pStyle w:val="3"/>
      <w:lvlText w:val="第一章"/>
      <w:lvlJc w:val="left"/>
      <w:pPr>
        <w:ind w:left="425" w:hanging="425"/>
      </w:pPr>
      <w:rPr>
        <w:rFonts w:hint="default" w:ascii="方正小标宋_GBK" w:hAnsi="方正小标宋_GBK" w:eastAsia="方正小标宋_GBK"/>
        <w:b/>
        <w:bCs/>
        <w:sz w:val="44"/>
        <w:szCs w:val="44"/>
        <w:lang w:val="en-US"/>
      </w:rPr>
    </w:lvl>
    <w:lvl w:ilvl="1" w:tentative="0">
      <w:start w:val="1"/>
      <w:numFmt w:val="none"/>
      <w:lvlText w:val="一、"/>
      <w:lvlJc w:val="left"/>
      <w:pPr>
        <w:ind w:left="425" w:hanging="425"/>
      </w:pPr>
      <w:rPr>
        <w:rFonts w:hint="default" w:ascii="黑体" w:hAnsi="黑体" w:eastAsia="黑体"/>
        <w:b/>
        <w:bCs/>
        <w:sz w:val="32"/>
        <w:szCs w:val="32"/>
      </w:rPr>
    </w:lvl>
    <w:lvl w:ilvl="2" w:tentative="0">
      <w:start w:val="1"/>
      <w:numFmt w:val="none"/>
      <w:lvlText w:val="（一）"/>
      <w:lvlJc w:val="left"/>
      <w:pPr>
        <w:ind w:left="425" w:hanging="425"/>
      </w:pPr>
      <w:rPr>
        <w:rFonts w:hint="default" w:ascii="仿宋_GB2312" w:hAnsi="宋体" w:eastAsia="仿宋_GB2312"/>
        <w:b w:val="0"/>
        <w:bCs/>
        <w:i/>
        <w:sz w:val="30"/>
        <w:szCs w:val="30"/>
      </w:rPr>
    </w:lvl>
    <w:lvl w:ilvl="3" w:tentative="0">
      <w:start w:val="1"/>
      <w:numFmt w:val="none"/>
      <w:lvlText w:val="1. "/>
      <w:lvlJc w:val="left"/>
      <w:pPr>
        <w:tabs>
          <w:tab w:val="left" w:pos="420"/>
        </w:tabs>
        <w:ind w:left="425" w:hanging="425"/>
      </w:pPr>
      <w:rPr>
        <w:rFonts w:hint="default" w:ascii="仿宋_GB2312" w:hAnsi="宋体" w:eastAsia="仿宋_GB2312"/>
        <w:bCs/>
        <w:i/>
        <w:sz w:val="28"/>
        <w:szCs w:val="28"/>
      </w:rPr>
    </w:lvl>
    <w:lvl w:ilvl="4" w:tentative="0">
      <w:start w:val="1"/>
      <w:numFmt w:val="none"/>
      <w:lvlText w:val="1.1 "/>
      <w:lvlJc w:val="left"/>
      <w:pPr>
        <w:ind w:left="905" w:hanging="425"/>
      </w:pPr>
      <w:rPr>
        <w:rFonts w:hint="default" w:ascii="仿宋_GB2312" w:hAnsi="宋体" w:eastAsia="仿宋_GB2312"/>
        <w:bCs/>
        <w:sz w:val="28"/>
        <w:szCs w:val="28"/>
      </w:rPr>
    </w:lvl>
    <w:lvl w:ilvl="5" w:tentative="0">
      <w:start w:val="1"/>
      <w:numFmt w:val="none"/>
      <w:lvlText w:val="1.1.1 "/>
      <w:lvlJc w:val="left"/>
      <w:pPr>
        <w:ind w:left="1276" w:hanging="425"/>
      </w:pPr>
      <w:rPr>
        <w:rFonts w:hint="default" w:ascii="宋体" w:hAnsi="宋体" w:eastAsia="仿宋_GB2312"/>
        <w:b/>
        <w:iCs/>
        <w:sz w:val="28"/>
        <w:szCs w:val="28"/>
      </w:rPr>
    </w:lvl>
    <w:lvl w:ilvl="6" w:tentative="0">
      <w:start w:val="1"/>
      <w:numFmt w:val="none"/>
      <w:lvlText w:val=""/>
      <w:lvlJc w:val="left"/>
      <w:pPr>
        <w:ind w:left="425" w:hanging="425"/>
      </w:pPr>
      <w:rPr>
        <w:rFonts w:hint="eastAsia" w:ascii="宋体" w:hAnsi="宋体" w:eastAsia="宋体" w:cs="宋体"/>
      </w:rPr>
    </w:lvl>
    <w:lvl w:ilvl="7" w:tentative="0">
      <w:start w:val="1"/>
      <w:numFmt w:val="none"/>
      <w:lvlText w:val=""/>
      <w:lvlJc w:val="left"/>
      <w:pPr>
        <w:ind w:left="425" w:hanging="425"/>
      </w:pPr>
      <w:rPr>
        <w:rFonts w:hint="eastAsia" w:ascii="宋体" w:hAnsi="宋体" w:eastAsia="宋体" w:cs="宋体"/>
      </w:rPr>
    </w:lvl>
    <w:lvl w:ilvl="8" w:tentative="0">
      <w:start w:val="1"/>
      <w:numFmt w:val="none"/>
      <w:lvlText w:val=""/>
      <w:lvlJc w:val="left"/>
      <w:pPr>
        <w:ind w:left="425" w:hanging="425"/>
      </w:pPr>
      <w:rPr>
        <w:rFonts w:hint="eastAsia" w:ascii="宋体" w:hAnsi="宋体" w:eastAsia="宋体" w:cs="宋体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NkMjBmNDQzZDllYTIzNDQ3OWQzODhkMjU5MDI0NDEifQ=="/>
  </w:docVars>
  <w:rsids>
    <w:rsidRoot w:val="00000000"/>
    <w:rsid w:val="1BF993FA"/>
    <w:rsid w:val="2AA7562C"/>
    <w:rsid w:val="3FEC5B39"/>
    <w:rsid w:val="48077DFE"/>
    <w:rsid w:val="4E798586"/>
    <w:rsid w:val="5BE9A216"/>
    <w:rsid w:val="747E4D23"/>
    <w:rsid w:val="78EDC854"/>
    <w:rsid w:val="7B970709"/>
    <w:rsid w:val="7EBA37FF"/>
    <w:rsid w:val="7EBEF678"/>
    <w:rsid w:val="ABADC13D"/>
    <w:rsid w:val="B5F72AC4"/>
    <w:rsid w:val="B7D9FB1B"/>
    <w:rsid w:val="BC3D6AC5"/>
    <w:rsid w:val="BE5A0B53"/>
    <w:rsid w:val="DBFF205D"/>
    <w:rsid w:val="DE3FFA31"/>
    <w:rsid w:val="DFBC9272"/>
    <w:rsid w:val="E8F9F052"/>
    <w:rsid w:val="EFBEAD55"/>
    <w:rsid w:val="EFBF1F62"/>
    <w:rsid w:val="EFD764C9"/>
    <w:rsid w:val="F2DF820F"/>
    <w:rsid w:val="F53F3628"/>
    <w:rsid w:val="F58A5DB6"/>
    <w:rsid w:val="FFBA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4"/>
    <w:next w:val="1"/>
    <w:qFormat/>
    <w:uiPriority w:val="0"/>
    <w:pPr>
      <w:numPr>
        <w:ilvl w:val="0"/>
        <w:numId w:val="1"/>
      </w:numPr>
      <w:spacing w:beforeAutospacing="0" w:afterAutospacing="0" w:line="240" w:lineRule="auto"/>
      <w:ind w:left="425"/>
      <w:jc w:val="center"/>
      <w:outlineLvl w:val="0"/>
    </w:pPr>
    <w:rPr>
      <w:rFonts w:hint="eastAsia" w:ascii="宋体" w:hAnsi="宋体" w:eastAsia="方正小标宋_GBK" w:cs="Times New Roman"/>
      <w:b/>
      <w:bCs/>
      <w:kern w:val="44"/>
      <w:sz w:val="44"/>
      <w:szCs w:val="48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4">
    <w:name w:val="toc 1"/>
    <w:basedOn w:val="1"/>
    <w:next w:val="1"/>
    <w:uiPriority w:val="0"/>
  </w:style>
  <w:style w:type="paragraph" w:styleId="5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6">
    <w:name w:val="Body Text First Indent 2"/>
    <w:basedOn w:val="5"/>
    <w:unhideWhenUsed/>
    <w:qFormat/>
    <w:uiPriority w:val="99"/>
    <w:pPr>
      <w:ind w:firstLine="420" w:firstLineChars="2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1607</Words>
  <Characters>1651</Characters>
  <Lines>0</Lines>
  <Paragraphs>0</Paragraphs>
  <TotalTime>3</TotalTime>
  <ScaleCrop>false</ScaleCrop>
  <LinksUpToDate>false</LinksUpToDate>
  <CharactersWithSpaces>1651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2026-07-30T17:46:00Z</dcterms:created>
  <dc:creator>Administrator</dc:creator>
  <cp:lastModifiedBy>李奇</cp:lastModifiedBy>
  <dcterms:modified xsi:type="dcterms:W3CDTF">2026-10-13T00:17:00Z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KSOTemplateDocerSaveRecord">
    <vt:lpwstr>eyJoZGlkIjoiNTYzZDgzNzJmMzI3MGQ1NDk1M2Y5NTk2NjQzZDJmMzAiLCJ1c2VySWQiOiI4OTU3Nzk1ODQifQ==</vt:lpwstr>
  </property>
  <property fmtid="{D5CDD505-2E9C-101B-9397-08002B2CF9AE}" pid="4" name="ICV">
    <vt:lpwstr>5D452C7C6D00411395ECFF6133FCF94F_12</vt:lpwstr>
  </property>
</Properties>
</file>