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C4122">
      <w:pPr>
        <w:pStyle w:val="2"/>
        <w:rPr>
          <w:rFonts w:hint="default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附件</w:t>
      </w:r>
      <w:bookmarkStart w:id="0" w:name="_GoBack"/>
      <w:bookmarkEnd w:id="0"/>
    </w:p>
    <w:p w14:paraId="17C4B807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  <w14:ligatures w14:val="none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  <w14:ligatures w14:val="none"/>
        </w:rPr>
        <w:t>核心功能</w:t>
      </w:r>
    </w:p>
    <w:p w14:paraId="1B3C5C24">
      <w:pPr>
        <w:pStyle w:val="2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1、翻墙行为阻断：精准识别并阻断翻墙行为，管控范围全面，情报实时自动更新</w:t>
      </w:r>
    </w:p>
    <w:p w14:paraId="6DDE52C6">
      <w:pPr>
        <w:pStyle w:val="2"/>
        <w:numPr>
          <w:ilvl w:val="0"/>
          <w:numId w:val="2"/>
        </w:numPr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进一步加强翻墙行为的监测和管控范围，情报实时自动更新；</w:t>
      </w:r>
    </w:p>
    <w:p w14:paraId="3BC58D76">
      <w:pPr>
        <w:pStyle w:val="2"/>
        <w:numPr>
          <w:ilvl w:val="0"/>
          <w:numId w:val="2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翻墙治理网关提供上百种主流网络代理应用监测，实时针对翻墙行为进行应用层面识别和阻断;</w:t>
      </w:r>
    </w:p>
    <w:p w14:paraId="4FE89040">
      <w:pPr>
        <w:pStyle w:val="2"/>
        <w:numPr>
          <w:ilvl w:val="0"/>
          <w:numId w:val="2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翻墙治理网关内置境外URL情报数据，从目的IP地址层面对涉外访问进行全量管控;</w:t>
      </w:r>
    </w:p>
    <w:p w14:paraId="6EB91FFE">
      <w:pPr>
        <w:pStyle w:val="2"/>
        <w:numPr>
          <w:ilvl w:val="0"/>
          <w:numId w:val="2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翻墙治理网关内置多种类型恶意网址库，进一步净化单位上网环境，规范意识形态，避免潜移默化的思想荼毒。</w:t>
      </w:r>
    </w:p>
    <w:p w14:paraId="6CBCC4E9">
      <w:pPr>
        <w:pStyle w:val="2"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2、翻墙行为溯源：翻墙治理网关针对单位内的翻墙行为进行精准识别并有效阻断，记录访问者的详细信息便于进一步追踪溯源。</w:t>
      </w:r>
    </w:p>
    <w:p w14:paraId="3F31DD4B">
      <w:pPr>
        <w:pStyle w:val="2"/>
        <w:numPr>
          <w:ilvl w:val="0"/>
          <w:numId w:val="3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日志审计：翻墙治理网关提供全量的网络访问日志，满足相关网络安全法规的180天日志留存合规性要求。</w:t>
      </w:r>
    </w:p>
    <w:p w14:paraId="5910E01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  <w14:ligatures w14:val="none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自定义阻断策略：翻墙治理网关支持自定义阻断策略，可根据单位的实际需求，配置相应的阻断策略，拦截指定的IP/域名地址。</w:t>
      </w:r>
    </w:p>
    <w:p w14:paraId="2A788D23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  <w14:ligatures w14:val="none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  <w14:ligatures w14:val="none"/>
        </w:rPr>
        <w:t>满足国家要求的对照关系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6"/>
        <w:gridCol w:w="5166"/>
      </w:tblGrid>
      <w:tr w14:paraId="5CCA8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6" w:type="dxa"/>
            <w:noWrap w:val="0"/>
            <w:vAlign w:val="top"/>
          </w:tcPr>
          <w:p w14:paraId="6C97AF9E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专项行动要求</w:t>
            </w:r>
          </w:p>
        </w:tc>
        <w:tc>
          <w:tcPr>
            <w:tcW w:w="5166" w:type="dxa"/>
            <w:noWrap w:val="0"/>
            <w:vAlign w:val="top"/>
          </w:tcPr>
          <w:p w14:paraId="416A90F4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翻墙治理网关对应能力</w:t>
            </w:r>
          </w:p>
        </w:tc>
      </w:tr>
      <w:tr w14:paraId="24196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6" w:type="dxa"/>
            <w:noWrap w:val="0"/>
            <w:vAlign w:val="top"/>
          </w:tcPr>
          <w:p w14:paraId="0BC3ACE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打击非法VPN翻墙行为</w:t>
            </w:r>
          </w:p>
        </w:tc>
        <w:tc>
          <w:tcPr>
            <w:tcW w:w="5166" w:type="dxa"/>
            <w:noWrap w:val="0"/>
            <w:vAlign w:val="top"/>
          </w:tcPr>
          <w:p w14:paraId="2E36693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国家级情报库精准识别境内非法VPN节点并阻断</w:t>
            </w:r>
          </w:p>
        </w:tc>
      </w:tr>
      <w:tr w14:paraId="24CAD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6" w:type="dxa"/>
            <w:noWrap w:val="0"/>
            <w:vAlign w:val="top"/>
          </w:tcPr>
          <w:p w14:paraId="54F7B3D1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监测非法域名访问及DNS解析</w:t>
            </w:r>
          </w:p>
        </w:tc>
        <w:tc>
          <w:tcPr>
            <w:tcW w:w="5166" w:type="dxa"/>
            <w:noWrap w:val="0"/>
            <w:vAlign w:val="top"/>
          </w:tcPr>
          <w:p w14:paraId="3BA9D579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实时监测并识别非法域名访问行为</w:t>
            </w:r>
          </w:p>
        </w:tc>
      </w:tr>
      <w:tr w14:paraId="2D285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6" w:type="dxa"/>
            <w:noWrap w:val="0"/>
            <w:vAlign w:val="top"/>
          </w:tcPr>
          <w:p w14:paraId="5F40F903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监测Telegram等境外加密通信</w:t>
            </w:r>
          </w:p>
        </w:tc>
        <w:tc>
          <w:tcPr>
            <w:tcW w:w="5166" w:type="dxa"/>
            <w:noWrap w:val="0"/>
            <w:vAlign w:val="top"/>
          </w:tcPr>
          <w:p w14:paraId="4718412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精准识别Telegram等境外加密聊天工具的访问</w:t>
            </w:r>
          </w:p>
        </w:tc>
      </w:tr>
      <w:tr w14:paraId="6AB62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6" w:type="dxa"/>
            <w:noWrap w:val="0"/>
            <w:vAlign w:val="top"/>
          </w:tcPr>
          <w:p w14:paraId="0E062355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日志留存不少于180天</w:t>
            </w:r>
          </w:p>
        </w:tc>
        <w:tc>
          <w:tcPr>
            <w:tcW w:w="5166" w:type="dxa"/>
            <w:noWrap w:val="0"/>
            <w:vAlign w:val="top"/>
          </w:tcPr>
          <w:p w14:paraId="4B9D0B28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支持云/本地日志留存，满足180天以上保存要求</w:t>
            </w:r>
          </w:p>
        </w:tc>
      </w:tr>
      <w:tr w14:paraId="72F8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56" w:type="dxa"/>
            <w:noWrap w:val="0"/>
            <w:vAlign w:val="top"/>
          </w:tcPr>
          <w:p w14:paraId="7C7357B3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定位翻墙行为责任人</w:t>
            </w:r>
          </w:p>
        </w:tc>
        <w:tc>
          <w:tcPr>
            <w:tcW w:w="5166" w:type="dxa"/>
            <w:noWrap w:val="0"/>
            <w:vAlign w:val="top"/>
          </w:tcPr>
          <w:p w14:paraId="548BBBF0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ind w:leftChars="200" w:firstLine="0" w:firstLineChars="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  <w14:ligatures w14:val="none"/>
              </w:rPr>
              <w:t>精准定位到具体终端IP和人员身份</w:t>
            </w:r>
          </w:p>
        </w:tc>
      </w:tr>
    </w:tbl>
    <w:p w14:paraId="0C7A20A1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微软雅黑"/>
          <w:sz w:val="32"/>
          <w:szCs w:val="32"/>
          <w:lang w:val="en-US" w:eastAsia="zh-CN"/>
          <w14:ligatures w14:val="none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  <w14:ligatures w14:val="none"/>
        </w:rPr>
        <w:t>三、服务保障体系</w:t>
      </w:r>
    </w:p>
    <w:p w14:paraId="69C77CBD">
      <w:pPr>
        <w:pStyle w:val="2"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、7X24小时服务保障:提供全天候技术支持和故障响应服务；</w:t>
      </w:r>
    </w:p>
    <w:p w14:paraId="61358E35">
      <w:pPr>
        <w:pStyle w:val="2"/>
        <w:numPr>
          <w:ilvl w:val="0"/>
          <w:numId w:val="4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属地化服务团队:常驻本地化服务团队，确保故障响应及时高效;</w:t>
      </w:r>
    </w:p>
    <w:p w14:paraId="480CD12C">
      <w:pPr>
        <w:pStyle w:val="2"/>
        <w:numPr>
          <w:ilvl w:val="0"/>
          <w:numId w:val="4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情报库实时更新:国家级情报库实时更新，确保对新型翻墙手段的持续有效识别；</w:t>
      </w:r>
    </w:p>
    <w:p w14:paraId="42484346">
      <w:pPr>
        <w:pStyle w:val="2"/>
        <w:numPr>
          <w:ilvl w:val="0"/>
          <w:numId w:val="4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定期巡检服务:定期提供设备巡检和策略优化服务；</w:t>
      </w:r>
    </w:p>
    <w:p w14:paraId="3E5960C5">
      <w:pPr>
        <w:pStyle w:val="2"/>
        <w:numPr>
          <w:ilvl w:val="0"/>
          <w:numId w:val="4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通报应急响应:如医院收到翻墙通报，技术团队必须快速到场协助排查和整改;</w:t>
      </w:r>
    </w:p>
    <w:p w14:paraId="41D9BF4F">
      <w:pPr>
        <w:pStyle w:val="2"/>
        <w:numPr>
          <w:ilvl w:val="0"/>
          <w:numId w:val="4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vertAlign w:val="baseline"/>
          <w:lang w:val="en-US" w:eastAsia="zh-CN"/>
        </w:rPr>
        <w:t>重大活动保障:在网络安全攻防演习、重大活动期间提供驻场保障服务</w:t>
      </w:r>
    </w:p>
    <w:p w14:paraId="69B6705F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sz w:val="32"/>
          <w:szCs w:val="32"/>
          <w:lang w:val="en-US" w:eastAsia="zh-CN"/>
          <w14:ligatures w14:val="none"/>
        </w:rPr>
      </w:pPr>
      <w:r>
        <w:rPr>
          <w:rFonts w:hint="default" w:ascii="微软雅黑" w:hAnsi="微软雅黑" w:eastAsia="微软雅黑" w:cs="微软雅黑"/>
          <w:sz w:val="32"/>
          <w:szCs w:val="32"/>
          <w:lang w:val="en-US" w:eastAsia="zh-CN"/>
          <w14:ligatures w14:val="none"/>
        </w:rPr>
        <w:t>售后服务内容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6794"/>
      </w:tblGrid>
      <w:tr w14:paraId="31545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21B83506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服务项目</w:t>
            </w:r>
          </w:p>
        </w:tc>
        <w:tc>
          <w:tcPr>
            <w:tcW w:w="6794" w:type="dxa"/>
            <w:noWrap w:val="0"/>
            <w:vAlign w:val="top"/>
          </w:tcPr>
          <w:p w14:paraId="10A883A9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服务内容</w:t>
            </w:r>
          </w:p>
        </w:tc>
      </w:tr>
      <w:tr w14:paraId="6244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3D416B97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系统运维</w:t>
            </w:r>
          </w:p>
        </w:tc>
        <w:tc>
          <w:tcPr>
            <w:tcW w:w="6794" w:type="dxa"/>
            <w:noWrap w:val="0"/>
            <w:vAlign w:val="top"/>
          </w:tcPr>
          <w:p w14:paraId="24466665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设备运行状态监控、系统升级、补丁更新</w:t>
            </w:r>
          </w:p>
        </w:tc>
      </w:tr>
      <w:tr w14:paraId="2C44F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54FB4FBE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策略优化</w:t>
            </w:r>
          </w:p>
        </w:tc>
        <w:tc>
          <w:tcPr>
            <w:tcW w:w="6794" w:type="dxa"/>
            <w:noWrap w:val="0"/>
            <w:vAlign w:val="top"/>
          </w:tcPr>
          <w:p w14:paraId="0F0973D4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根据实际情况调整检测策略和告警阈值</w:t>
            </w:r>
          </w:p>
        </w:tc>
      </w:tr>
      <w:tr w14:paraId="78D7A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6E1F3BC9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日志服务</w:t>
            </w:r>
          </w:p>
        </w:tc>
        <w:tc>
          <w:tcPr>
            <w:tcW w:w="6794" w:type="dxa"/>
            <w:noWrap w:val="0"/>
            <w:vAlign w:val="top"/>
          </w:tcPr>
          <w:p w14:paraId="778EAA78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日志存储管理、日志分析、报表生成</w:t>
            </w:r>
          </w:p>
        </w:tc>
      </w:tr>
      <w:tr w14:paraId="2012F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2F505BC0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应急响应</w:t>
            </w:r>
          </w:p>
        </w:tc>
        <w:tc>
          <w:tcPr>
            <w:tcW w:w="6794" w:type="dxa"/>
            <w:noWrap w:val="0"/>
            <w:vAlign w:val="top"/>
          </w:tcPr>
          <w:p w14:paraId="0896C763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通报事件排查、翻墙事件溯源分析</w:t>
            </w:r>
          </w:p>
        </w:tc>
      </w:tr>
      <w:tr w14:paraId="05BB1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6" w:type="dxa"/>
            <w:noWrap w:val="0"/>
            <w:vAlign w:val="top"/>
          </w:tcPr>
          <w:p w14:paraId="2486A1B5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培训服务</w:t>
            </w:r>
          </w:p>
        </w:tc>
        <w:tc>
          <w:tcPr>
            <w:tcW w:w="6794" w:type="dxa"/>
            <w:noWrap w:val="0"/>
            <w:vAlign w:val="top"/>
          </w:tcPr>
          <w:p w14:paraId="4F118B95">
            <w:pPr>
              <w:pStyle w:val="2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管理员操作培训、全员网络安全意识培训</w:t>
            </w:r>
          </w:p>
        </w:tc>
      </w:tr>
    </w:tbl>
    <w:p w14:paraId="421C5488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sz w:val="32"/>
          <w:szCs w:val="32"/>
          <w:lang w:val="en-US" w:eastAsia="zh-CN"/>
          <w14:ligatures w14:val="none"/>
        </w:rPr>
      </w:pPr>
      <w:r>
        <w:rPr>
          <w:rFonts w:hint="default" w:ascii="微软雅黑" w:hAnsi="微软雅黑" w:eastAsia="微软雅黑" w:cs="微软雅黑"/>
          <w:sz w:val="32"/>
          <w:szCs w:val="32"/>
          <w:lang w:val="en-US" w:eastAsia="zh-CN"/>
          <w14:ligatures w14:val="none"/>
        </w:rPr>
        <w:t>商务要求</w:t>
      </w:r>
    </w:p>
    <w:p w14:paraId="144C92FB">
      <w:pPr>
        <w:pStyle w:val="2"/>
        <w:numPr>
          <w:ilvl w:val="0"/>
          <w:numId w:val="5"/>
        </w:numPr>
        <w:ind w:leftChars="0"/>
        <w:jc w:val="left"/>
        <w:rPr>
          <w:rFonts w:hint="default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服务期限：</w:t>
      </w:r>
      <w:r>
        <w:rPr>
          <w:rFonts w:hint="default"/>
          <w:b w:val="0"/>
          <w:bCs w:val="0"/>
          <w:sz w:val="28"/>
          <w:szCs w:val="28"/>
          <w:vertAlign w:val="baseline"/>
          <w:lang w:val="en-US" w:eastAsia="zh-CN"/>
        </w:rPr>
        <w:t>自合同签订生效之日起15个工作日内，完成设备部署、策略调试、系统上线、试运行验收工作；整体服务周期为1年，期满可根据服务考核情况协商续购。</w:t>
      </w:r>
    </w:p>
    <w:p w14:paraId="0A9FA34F">
      <w:pPr>
        <w:pStyle w:val="2"/>
        <w:numPr>
          <w:ilvl w:val="0"/>
          <w:numId w:val="5"/>
        </w:numPr>
        <w:ind w:leftChars="0"/>
        <w:jc w:val="left"/>
        <w:rPr>
          <w:rFonts w:hint="default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服务地点：采购人指定地点；</w:t>
      </w:r>
    </w:p>
    <w:p w14:paraId="18D95344">
      <w:pPr>
        <w:pStyle w:val="2"/>
        <w:numPr>
          <w:ilvl w:val="0"/>
          <w:numId w:val="5"/>
        </w:numPr>
        <w:ind w:leftChars="0"/>
        <w:jc w:val="left"/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付款方式：本项目为年度包干付费模式，年度总价包含设备运维、情报更新、策略优化、巡检、应急响应、安全培训、合规日志留存等全部服务内容，无任何隐形及额外收费。项目部署调试完毕并正常运行后，供应商开具合规增值税发票，采购人凭验收资料及发票一次性支付全年服务费用。</w:t>
      </w:r>
    </w:p>
    <w:p w14:paraId="3036AE45">
      <w:pPr>
        <w:pStyle w:val="2"/>
        <w:numPr>
          <w:ilvl w:val="0"/>
          <w:numId w:val="5"/>
        </w:numPr>
        <w:ind w:left="0" w:leftChars="0" w:firstLine="0" w:firstLineChars="0"/>
        <w:jc w:val="left"/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考核与续约要求：服务期内采购人对服务响应速度、故障处置、策略优化、问题整改等服务质量进行月度、年度考核，考核合格可优先续约；服务不达标、响应不及时的，采购人有权按合同约定终止服务合同。</w:t>
      </w:r>
    </w:p>
    <w:p w14:paraId="19ED8349"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5、</w:t>
      </w:r>
      <w:r>
        <w:rPr>
          <w:rFonts w:hint="default"/>
          <w:b w:val="0"/>
          <w:bCs w:val="0"/>
          <w:sz w:val="28"/>
          <w:szCs w:val="28"/>
          <w:vertAlign w:val="baseline"/>
          <w:lang w:val="en-US" w:eastAsia="zh-CN"/>
        </w:rPr>
        <w:t>其他要求</w:t>
      </w: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：</w:t>
      </w:r>
      <w:r>
        <w:rPr>
          <w:rFonts w:hint="default"/>
          <w:b w:val="0"/>
          <w:bCs w:val="0"/>
          <w:sz w:val="28"/>
          <w:szCs w:val="28"/>
          <w:vertAlign w:val="baseline"/>
          <w:lang w:val="en-US" w:eastAsia="zh-CN"/>
        </w:rPr>
        <w:t>服务期内供应商需严格遵守采购人网络安全管理规定，保障单位网络数据安全、信息保密，不得泄露单位内网数据、访问日志、用户信息等涉密内容，承担相应保密责任。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3D8AD8"/>
    <w:multiLevelType w:val="multilevel"/>
    <w:tmpl w:val="9C3D8AD8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  <w:lvl w:ilvl="1" w:tentative="0">
      <w:start w:val="1"/>
      <w:numFmt w:val="decimalEnclosedCircleChinese"/>
      <w:lvlText w:val="%2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B0F652CD"/>
    <w:multiLevelType w:val="singleLevel"/>
    <w:tmpl w:val="B0F652C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B71EE36C"/>
    <w:multiLevelType w:val="singleLevel"/>
    <w:tmpl w:val="B71EE36C"/>
    <w:lvl w:ilvl="0" w:tentative="0">
      <w:start w:val="3"/>
      <w:numFmt w:val="decimal"/>
      <w:suff w:val="nothing"/>
      <w:lvlText w:val="%1、"/>
      <w:lvlJc w:val="left"/>
    </w:lvl>
  </w:abstractNum>
  <w:abstractNum w:abstractNumId="3">
    <w:nsid w:val="C6066143"/>
    <w:multiLevelType w:val="singleLevel"/>
    <w:tmpl w:val="C6066143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FD495CBB"/>
    <w:multiLevelType w:val="singleLevel"/>
    <w:tmpl w:val="FD495CB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A7562C"/>
    <w:rsid w:val="4807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1216</Words>
  <Characters>1252</Characters>
  <Lines>0</Lines>
  <Paragraphs>0</Paragraphs>
  <TotalTime>860</TotalTime>
  <ScaleCrop>false</ScaleCrop>
  <LinksUpToDate>false</LinksUpToDate>
  <CharactersWithSpaces>1252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2026-07-30T09:46:00Z</dcterms:created>
  <dc:creator>Administrator</dc:creator>
  <cp:lastModifiedBy>飞啊唉</cp:lastModifiedBy>
  <dcterms:modified xsi:type="dcterms:W3CDTF">2026-08-03T03:06:00Z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eyJoZGlkIjoiNTYzZDgzNzJmMzI3MGQ1NDk1M2Y5NTk2NjQzZDJmMzAiLCJ1c2VySWQiOiI4OTU3Nzk1ODQifQ==</vt:lpwstr>
  </property>
  <property fmtid="{D5CDD505-2E9C-101B-9397-08002B2CF9AE}" pid="4" name="ICV">
    <vt:lpwstr>5D452C7C6D00411395ECFF6133FCF94F_12</vt:lpwstr>
  </property>
</Properties>
</file>