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ackground w:color="FFFFFF"/>
  <w:body>
    <w:p>
      <w:pPr>
        <w:rPr>
          <w:sz w:val="32"/>
          <w:szCs w:val="32"/>
        </w:rPr>
      </w:pPr>
      <w:r>
        <w:rPr>
          <w:rFonts w:hint="eastAsia"/>
          <w:b/>
          <w:bCs/>
          <w:sz w:val="32"/>
          <w:szCs w:val="32"/>
        </w:rPr>
        <w:t>附件：</w:t>
      </w:r>
    </w:p>
    <w:p>
      <w:pPr>
        <w:numPr>
          <w:ilvl w:val="0"/>
          <w:numId w:val="1"/>
        </w:numPr>
        <w:spacing w:line="440" w:lineRule="exact"/>
        <w:ind w:left="0" w:firstLineChars="200" w:firstLine="480"/>
        <w:rPr>
          <w:b/>
          <w:bCs/>
          <w:sz w:val="24"/>
          <w:lang w:val="en-US" w:eastAsia="zh-CN"/>
        </w:rPr>
      </w:pPr>
      <w:r>
        <w:rPr>
          <w:rFonts w:hint="eastAsia"/>
          <w:b/>
          <w:bCs/>
          <w:sz w:val="24"/>
        </w:rPr>
        <w:t>项目名称：</w:t>
      </w:r>
      <w:bookmarkStart w:id="0" w:name="OLE_LINK1"/>
      <w:r>
        <w:rPr>
          <w:rFonts w:ascii="宋体" w:hAnsi="宋体" w:hint="eastAsia"/>
          <w:color w:val="000000"/>
          <w:sz w:val="24"/>
          <w:szCs w:val="24"/>
          <w:lang w:val="en-US" w:eastAsia="zh-CN"/>
        </w:rPr>
        <w:t>2026年第</w:t>
      </w:r>
      <w:r>
        <w:rPr>
          <w:rFonts w:ascii="宋体" w:hAnsi="宋体"/>
          <w:color w:val="000000"/>
          <w:sz w:val="24"/>
          <w:szCs w:val="24"/>
          <w:lang w:val="en-US" w:eastAsia="zh-CN"/>
        </w:rPr>
        <w:t>二</w:t>
      </w:r>
      <w:r>
        <w:rPr>
          <w:rFonts w:ascii="宋体" w:hAnsi="宋体" w:hint="eastAsia"/>
          <w:color w:val="000000"/>
          <w:sz w:val="24"/>
          <w:szCs w:val="24"/>
          <w:lang w:val="en-US" w:eastAsia="zh-CN"/>
        </w:rPr>
        <w:t>批耗材院内采购</w:t>
      </w:r>
      <w:bookmarkEnd w:id="0"/>
    </w:p>
    <w:p>
      <w:pPr>
        <w:numPr>
          <w:ilvl w:val="0"/>
          <w:numId w:val="1"/>
        </w:numPr>
        <w:spacing w:line="440" w:lineRule="exact"/>
        <w:ind w:left="0" w:firstLineChars="200" w:firstLine="480"/>
        <w:rPr>
          <w:b/>
          <w:bCs/>
          <w:sz w:val="24"/>
          <w:lang w:val="en-US" w:eastAsia="zh-CN"/>
        </w:rPr>
      </w:pPr>
      <w:r>
        <w:rPr>
          <w:rFonts w:ascii="宋体" w:hAnsi="宋体" w:hint="eastAsia"/>
          <w:b/>
          <w:bCs/>
          <w:color w:val="000000"/>
          <w:sz w:val="24"/>
          <w:szCs w:val="24"/>
          <w:lang w:eastAsia="zh-CN"/>
        </w:rPr>
        <w:t>项</w:t>
      </w:r>
      <w:r>
        <w:rPr>
          <w:rFonts w:ascii="宋体" w:hAnsi="宋体" w:hint="eastAsia"/>
          <w:b/>
          <w:bCs/>
          <w:color w:val="000000"/>
          <w:sz w:val="24"/>
          <w:szCs w:val="24"/>
          <w:lang w:val="en-US" w:eastAsia="zh-CN"/>
        </w:rPr>
        <w:t>目清单</w:t>
      </w:r>
      <w:bookmarkStart w:id="1" w:name="OLE_LINK14"/>
    </w:p>
    <w:tbl>
      <w:tblPr>
        <w:jc w:val="left"/>
        <w:tblInd w:w="529" w:type="dxa"/>
        <w:tblW w:w="968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Look w:val="04A0" w:firstRow="1" w:lastRow="0" w:firstColumn="1" w:lastColumn="0" w:noHBand="0" w:noVBand="1"/>
      </w:tblPr>
      <w:tblGrid>
        <w:gridCol w:w="738"/>
        <w:gridCol w:w="2114"/>
        <w:gridCol w:w="4954"/>
        <w:gridCol w:w="1877"/>
      </w:tblGrid>
      <w:tr>
        <w:trPr>
          <w:trHeight w:val="705"/>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包号</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产品名称</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技术参数</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单价限价（元）</w:t>
            </w:r>
          </w:p>
        </w:tc>
      </w:tr>
      <w:tr>
        <w:trPr>
          <w:trHeight w:val="512"/>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1</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医用脱脂纱布块</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rPr>
            </w:pPr>
            <w:r>
              <w:rPr>
                <w:rFonts w:ascii="宋体" w:cs="宋体"/>
                <w:sz w:val="24"/>
              </w:rPr>
              <w:t>8cm×8cm，8层，5张/包</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0.31/张</w:t>
            </w:r>
          </w:p>
        </w:tc>
      </w:tr>
      <w:tr>
        <w:trPr>
          <w:trHeight w:val="570"/>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2</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显影纱布块</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10cm×20cm，8层，带显影线，5块/包</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1.1/块</w:t>
            </w:r>
          </w:p>
        </w:tc>
      </w:tr>
      <w:tr>
        <w:trPr>
          <w:trHeight w:val="535"/>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3</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医用加厚棉垫</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30cm×40cm，加厚款，1张/包</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2.5/张</w:t>
            </w:r>
          </w:p>
        </w:tc>
      </w:tr>
      <w:tr>
        <w:trPr>
          <w:trHeight w:val="627"/>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4</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纱布垫</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30cm×40cm，6层，单包独立包装</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4.25/张</w:t>
            </w:r>
          </w:p>
        </w:tc>
      </w:tr>
      <w:tr>
        <w:trPr>
          <w:trHeight w:val="569"/>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5</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无菌保护套</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14cm×200cm，无菌独立包装</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4.29/个</w:t>
            </w:r>
          </w:p>
        </w:tc>
      </w:tr>
      <w:tr>
        <w:trPr>
          <w:trHeight w:val="615"/>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6</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无菌C型臂保护套</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80cm×70cm，无菌独立包装</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6.03/个</w:t>
            </w:r>
          </w:p>
        </w:tc>
      </w:tr>
      <w:tr>
        <w:trPr>
          <w:trHeight w:val="638"/>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7</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医用手术薄膜</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40cm×40cm，无菌医用款</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10.05/张</w:t>
            </w:r>
          </w:p>
        </w:tc>
      </w:tr>
      <w:tr>
        <w:trPr>
          <w:trHeight w:val="626"/>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8</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颅脑手术专用薄膜</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45cm×45cm，自带集液袋，无菌包装</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9/张</w:t>
            </w:r>
          </w:p>
        </w:tc>
      </w:tr>
      <w:tr>
        <w:trPr>
          <w:trHeight w:val="465"/>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9</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骨蜡</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单片/单张独立包装</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22/片</w:t>
            </w:r>
          </w:p>
        </w:tc>
      </w:tr>
      <w:tr>
        <w:trPr>
          <w:trHeight w:val="651"/>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10</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一次性使用人体动脉采血器</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5ml</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7.53/个</w:t>
            </w:r>
          </w:p>
        </w:tc>
      </w:tr>
      <w:tr>
        <w:trPr>
          <w:trHeight w:val="376"/>
        </w:trPr>
        <w:tc>
          <w:tcPr>
            <w:tcW w:w="738" w:type="dxa"/>
            <w:vMerge w:val="restart"/>
            <w:tcBorders>
              <w:top w:val="single" w:sz="4" w:space="0" w:color="auto"/>
              <w:left w:val="single" w:sz="4" w:space="0" w:color="auto"/>
              <w:bottom w:val="nil"/>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11</w:t>
            </w:r>
          </w:p>
        </w:tc>
        <w:tc>
          <w:tcPr>
            <w:tcW w:w="2114" w:type="dxa"/>
            <w:vMerge w:val="restart"/>
            <w:tcBorders>
              <w:top w:val="single" w:sz="4" w:space="0" w:color="auto"/>
              <w:left w:val="single" w:sz="4" w:space="0" w:color="auto"/>
              <w:bottom w:val="nil"/>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自粘式伤口敷料</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b w:val="0"/>
                <w:i w:val="0"/>
                <w:caps w:val="0"/>
                <w:smallCaps w:val="0"/>
                <w:strike w:val="0"/>
                <w:dstrike w:val="0"/>
                <w:color w:val="000000"/>
                <w:sz w:val="24"/>
                <w:szCs w:val="24"/>
                <w:u w:val="none"/>
                <w:vertAlign w:val="baseline"/>
              </w:rPr>
              <w:t>10cm×20cm</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6.3/张</w:t>
            </w:r>
          </w:p>
        </w:tc>
      </w:tr>
      <w:tr>
        <w:trPr>
          <w:trHeight w:val="592"/>
        </w:trPr>
        <w:tc>
          <w:tcPr>
            <w:vMerge/>
            <w:tcBorders>
              <w:top w:val="nil"/>
              <w:left w:val="single" w:sz="4" w:space="0" w:color="auto"/>
              <w:bottom w:val="nil"/>
              <w:right w:val="single" w:sz="4" w:space="0" w:color="auto"/>
              <w:tl2br w:val="nil"/>
              <w:tr2bl w:val="nil"/>
            </w:tcBorders>
            <w:noWrap/>
            <w:vAlign w:val="center"/>
          </w:tcPr>
          <w:p/>
        </w:tc>
        <w:tc>
          <w:tcPr>
            <w:vMerge/>
            <w:tcBorders>
              <w:top w:val="nil"/>
              <w:left w:val="single" w:sz="4" w:space="0" w:color="auto"/>
              <w:bottom w:val="nil"/>
              <w:right w:val="single" w:sz="4" w:space="0" w:color="auto"/>
              <w:tl2br w:val="nil"/>
              <w:tr2bl w:val="nil"/>
            </w:tcBorders>
            <w:noWrap/>
            <w:vAlign w:val="center"/>
          </w:tcP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10cm×25cm、</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7.6/张</w:t>
            </w:r>
          </w:p>
        </w:tc>
      </w:tr>
      <w:tr>
        <w:trPr>
          <w:trHeight w:val="422"/>
        </w:trPr>
        <w:tc>
          <w:tcPr>
            <w:vMerge/>
            <w:tcBorders>
              <w:top w:val="nil"/>
              <w:left w:val="single" w:sz="4" w:space="0" w:color="auto"/>
              <w:bottom w:val="single" w:sz="4" w:space="0" w:color="auto"/>
              <w:right w:val="single" w:sz="4" w:space="0" w:color="auto"/>
              <w:tl2br w:val="nil"/>
              <w:tr2bl w:val="nil"/>
            </w:tcBorders>
            <w:noWrap/>
            <w:vAlign w:val="center"/>
          </w:tcPr>
          <w:p/>
        </w:tc>
        <w:tc>
          <w:tcPr>
            <w:vMerge/>
            <w:tcBorders>
              <w:top w:val="nil"/>
              <w:left w:val="single" w:sz="4" w:space="0" w:color="auto"/>
              <w:bottom w:val="single" w:sz="4" w:space="0" w:color="auto"/>
              <w:right w:val="single" w:sz="4" w:space="0" w:color="auto"/>
              <w:tl2br w:val="nil"/>
              <w:tr2bl w:val="nil"/>
            </w:tcBorders>
            <w:noWrap/>
            <w:vAlign w:val="center"/>
          </w:tcP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 xml:space="preserve"> 6cm×7cm</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1.67/张</w:t>
            </w:r>
          </w:p>
        </w:tc>
      </w:tr>
      <w:tr>
        <w:trPr>
          <w:trHeight w:val="876"/>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12</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外科手消毒液</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rPr>
            </w:pPr>
            <w:r>
              <w:rPr>
                <w:rFonts w:ascii="宋体" w:cs="宋体"/>
                <w:sz w:val="24"/>
              </w:rPr>
              <w:t>适用于外科手消毒，可杀灭肠道致病菌、化脓性球菌、致病性酵母菌及院内常见感染细菌（</w:t>
            </w:r>
            <w:r>
              <w:rPr>
                <w:rFonts w:ascii="宋体" w:cs="宋体"/>
                <w:color w:val="000000"/>
                <w:sz w:val="24"/>
              </w:rPr>
              <w:t>1升</w:t>
            </w:r>
            <w:r>
              <w:rPr>
                <w:rFonts w:ascii="宋体" w:cs="宋体"/>
                <w:sz w:val="24"/>
              </w:rPr>
              <w:t>）</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65/瓶</w:t>
            </w:r>
          </w:p>
        </w:tc>
      </w:tr>
      <w:tr>
        <w:trPr>
          <w:trHeight w:val="805"/>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13</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速干免洗手消毒液</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可同时用于外科手消毒、卫生手消毒，速干无残留</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10/瓶</w:t>
            </w:r>
          </w:p>
        </w:tc>
      </w:tr>
      <w:tr>
        <w:trPr>
          <w:trHeight w:val="797"/>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14</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一次性负压引流袋</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rPr>
                <w:sz w:val="24"/>
              </w:rPr>
            </w:pPr>
            <w:r>
              <w:rPr>
                <w:rFonts w:ascii="宋体" w:cs="宋体"/>
                <w:sz w:val="24"/>
              </w:rPr>
              <w:t>负压引流袋（1000ML）配套体外吸引连接管，无菌医用款（</w:t>
            </w:r>
            <w:r>
              <w:rPr>
                <w:rFonts w:ascii="宋体" w:cs="宋体"/>
                <w:color w:val="000000"/>
                <w:sz w:val="24"/>
              </w:rPr>
              <w:t>连接管长度2.2m）</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16/个</w:t>
            </w:r>
          </w:p>
        </w:tc>
      </w:tr>
      <w:tr>
        <w:trPr>
          <w:trHeight w:val="479"/>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15</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纱布绷带</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rPr>
                <w:sz w:val="24"/>
                <w:szCs w:val="24"/>
              </w:rPr>
            </w:pPr>
            <w:r>
              <w:rPr>
                <w:rFonts w:ascii="宋体" w:eastAsia="宋体" w:cs="Calibri"/>
                <w:color w:val="000000"/>
                <w:sz w:val="24"/>
                <w:szCs w:val="24"/>
              </w:rPr>
              <w:t>8cm×600cm</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2.83/张</w:t>
            </w:r>
          </w:p>
        </w:tc>
      </w:tr>
      <w:tr>
        <w:trPr>
          <w:trHeight w:val="855"/>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16</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一次性使用连接管</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rPr>
                <w:sz w:val="24"/>
                <w:szCs w:val="24"/>
              </w:rPr>
            </w:pPr>
            <w:r>
              <w:rPr>
                <w:rFonts w:ascii="宋体" w:eastAsia="宋体" w:cs="Calibri"/>
                <w:color w:val="000000"/>
                <w:sz w:val="24"/>
                <w:szCs w:val="24"/>
              </w:rPr>
              <w:t>规格2.0×200mm，自带三通结构，医用无菌规格，适配手术室术中管路连接使用</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4.05/根</w:t>
            </w:r>
          </w:p>
        </w:tc>
      </w:tr>
      <w:tr>
        <w:trPr>
          <w:trHeight w:val="1298"/>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17</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创面冲洗管路</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rPr>
                <w:sz w:val="24"/>
                <w:szCs w:val="24"/>
              </w:rPr>
            </w:pPr>
            <w:r>
              <w:rPr>
                <w:rFonts w:ascii="宋体" w:eastAsia="宋体" w:cs="Calibri"/>
                <w:color w:val="000000"/>
                <w:sz w:val="24"/>
                <w:szCs w:val="24"/>
              </w:rPr>
              <w:t>专用冲洗管接口搭配连接软管，配置两根插瓶针，管路管径大于常规输液管路，适用于人体创面、术区冲洗，无菌合规，适配手术室术中操作</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12/根</w:t>
            </w:r>
          </w:p>
        </w:tc>
      </w:tr>
      <w:tr>
        <w:trPr>
          <w:trHeight w:val="592"/>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18</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乳胶引流管</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rPr>
                <w:sz w:val="24"/>
                <w:szCs w:val="24"/>
              </w:rPr>
            </w:pPr>
            <w:r>
              <w:rPr>
                <w:rFonts w:ascii="宋体" w:eastAsia="宋体" w:cs="Calibri"/>
                <w:color w:val="000000"/>
                <w:sz w:val="24"/>
                <w:szCs w:val="24"/>
              </w:rPr>
              <w:t>规格18Fr~22Fr，医用无菌，符合临床引流使用标准</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Calibri"/>
                <w:color w:val="000000"/>
                <w:sz w:val="24"/>
                <w:szCs w:val="24"/>
              </w:rPr>
              <w:t>5/根</w:t>
            </w:r>
          </w:p>
        </w:tc>
      </w:tr>
      <w:tr>
        <w:trPr>
          <w:trHeight w:val="495"/>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19</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olor w:val="000000"/>
                <w:sz w:val="24"/>
                <w:szCs w:val="24"/>
              </w:rPr>
              <w:t>台式血压计</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olor w:val="000000"/>
                <w:sz w:val="24"/>
                <w:szCs w:val="24"/>
              </w:rPr>
              <w:t>成人</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olor w:val="000000"/>
                <w:sz w:val="24"/>
                <w:szCs w:val="24"/>
              </w:rPr>
              <w:t>143/台</w:t>
            </w:r>
          </w:p>
        </w:tc>
      </w:tr>
      <w:tr>
        <w:trPr>
          <w:trHeight w:val="645"/>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20</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olor w:val="000000"/>
                <w:sz w:val="24"/>
                <w:szCs w:val="24"/>
              </w:rPr>
              <w:t>台式血压计</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olor w:val="000000"/>
                <w:sz w:val="24"/>
                <w:szCs w:val="24"/>
              </w:rPr>
              <w:t>儿童</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s="Arial"/>
                <w:b w:val="0"/>
                <w:i w:val="0"/>
                <w:caps w:val="0"/>
                <w:smallCaps w:val="0"/>
                <w:strike w:val="0"/>
                <w:dstrike w:val="0"/>
                <w:color w:val="000000"/>
                <w:sz w:val="24"/>
                <w:szCs w:val="24"/>
                <w:u w:val="none"/>
                <w:vertAlign w:val="baseline"/>
              </w:rPr>
              <w:t>195/台</w:t>
            </w:r>
          </w:p>
        </w:tc>
      </w:tr>
      <w:tr>
        <w:trPr>
          <w:trHeight w:val="719"/>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21</w:t>
            </w:r>
          </w:p>
        </w:tc>
        <w:tc>
          <w:tcPr>
            <w:tcW w:w="211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olor w:val="000000"/>
                <w:sz w:val="24"/>
                <w:szCs w:val="24"/>
              </w:rPr>
              <w:t>一次性使用肛门管</w:t>
            </w:r>
          </w:p>
        </w:tc>
        <w:tc>
          <w:tcPr>
            <w:tcW w:w="4954"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olor w:val="000000"/>
                <w:sz w:val="24"/>
                <w:szCs w:val="24"/>
              </w:rPr>
              <w:t>F24(中号)</w:t>
            </w:r>
          </w:p>
        </w:tc>
        <w:tc>
          <w:tcPr>
            <w:tcW w:w="1877" w:type="dxa"/>
            <w:tcBorders>
              <w:top w:val="single" w:sz="4" w:space="0" w:color="auto"/>
              <w:left w:val="single" w:sz="4" w:space="0" w:color="auto"/>
              <w:bottom w:val="single" w:sz="4" w:space="0" w:color="auto"/>
              <w:right w:val="single" w:sz="4" w:space="0" w:color="auto"/>
              <w:tl2br w:val="nil"/>
              <w:tr2bl w:val="nil"/>
            </w:tcBorders>
            <w:noWrap/>
            <w:tcMar>
              <w:left w:w="0" w:type="dxa"/>
            </w:tcMar>
            <w:vAlign w:val="center"/>
          </w:tcPr>
          <w:p>
            <w:pPr>
              <w:jc w:val="center"/>
              <w:rPr>
                <w:sz w:val="24"/>
                <w:szCs w:val="24"/>
              </w:rPr>
            </w:pPr>
            <w:r>
              <w:rPr>
                <w:rFonts w:ascii="宋体" w:eastAsia="宋体"/>
                <w:color w:val="000000"/>
                <w:sz w:val="24"/>
                <w:szCs w:val="24"/>
              </w:rPr>
              <w:t>0.75/根</w:t>
            </w:r>
          </w:p>
        </w:tc>
      </w:tr>
      <w:tr>
        <w:trPr>
          <w:trHeight w:val="4560"/>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22</w:t>
            </w:r>
          </w:p>
        </w:tc>
        <w:tc>
          <w:tcPr>
            <w:tcW w:w="2114" w:type="dxa"/>
            <w:tcBorders>
              <w:top w:val="single" w:sz="6" w:space="0" w:color="auto"/>
              <w:left w:val="single" w:sz="6" w:space="0" w:color="auto"/>
              <w:bottom w:val="single" w:sz="6" w:space="0" w:color="auto"/>
              <w:right w:val="single" w:sz="6" w:space="0" w:color="auto"/>
              <w:tl2br w:val="nil"/>
              <w:tr2bl w:val="nil"/>
            </w:tcBorders>
            <w:noWrap/>
            <w:vAlign w:val="center"/>
          </w:tcPr>
          <w:p>
            <w:pPr>
              <w:rPr>
                <w:sz w:val="24"/>
                <w:szCs w:val="24"/>
              </w:rPr>
            </w:pPr>
            <w:r>
              <w:rPr>
                <w:rFonts w:ascii="Times New Roman" w:eastAsia="宋体" w:hAnsi="Times New Roman"/>
                <w:sz w:val="24"/>
                <w:szCs w:val="24"/>
              </w:rPr>
              <w:t>雾化器</w:t>
            </w:r>
          </w:p>
        </w:tc>
        <w:tc>
          <w:tcPr>
            <w:tcW w:w="4954" w:type="dxa"/>
            <w:tcBorders>
              <w:top w:val="single" w:sz="6" w:space="0" w:color="auto"/>
              <w:left w:val="single" w:sz="6" w:space="0" w:color="auto"/>
              <w:bottom w:val="single" w:sz="6" w:space="0" w:color="auto"/>
              <w:right w:val="single" w:sz="6" w:space="0" w:color="auto"/>
              <w:tl2br w:val="nil"/>
              <w:tr2bl w:val="nil"/>
            </w:tcBorders>
            <w:noWrap/>
            <w:vAlign w:val="center"/>
          </w:tcPr>
          <w:p>
            <w:pPr>
              <w:rPr>
                <w:sz w:val="24"/>
              </w:rPr>
            </w:pPr>
            <w:r>
              <w:rPr>
                <w:rFonts w:ascii="宋体" w:eastAsia="宋体" w:hAnsi="宋体"/>
                <w:color w:val="000000"/>
                <w:sz w:val="24"/>
              </w:rPr>
              <w:t>1.产品组成：包括雾化杯、连接管及面罩。</w:t>
              <w:br/>
              <w:t>2.产品为一次性使用，以无菌状态提供，采用环氧乙烷或其他等效方法进行灭菌。</w:t>
              <w:br/>
              <w:t>3.雾化杯上的文字、标记和刻度容量线应清晰可辨，刻度准确；连接管无扭结、折弯，管身光滑，内壁清洁；各组件之间连接牢固可靠，连接处无泄漏。</w:t>
              <w:br/>
              <w:t>4.雾化杯采用医用级高分子材料（如聚丙烯PP等）制成，符合YY/T 0242标准的要求。面罩、连接管为医用级PVC或等同材料制成，不含有DEHP增塑剂成分，材料无毒、无臭、无味，具有良好的生物相容性，无细胞毒性、无致敏反应、无皮肤或口腔黏膜刺激反应。</w:t>
              <w:br/>
              <w:t>5.雾化杯容量≥6ml。</w:t>
              <w:br/>
              <w:t>6.雾化率：在额定工作条件下（2.5L/min～8L/min气流量下），雾化器能正常出雾，雾化率≥0.1ml/min。</w:t>
              <w:br/>
              <w:t>7.残液量：雾化杯残液量≤1ml。</w:t>
              <w:br/>
              <w:t>8.雾粒直径分布：雾化器产生的雾粒直径分布应满足临床吸入治疗要求，直径1μm～5μm的雾粒所占比例＞60%；中位粒径不超过2.6μm±25%。</w:t>
              <w:br/>
              <w:t>9.产品有效期≥24个月。</w:t>
              <w:br/>
              <w:t>10.规格型号：儿童面罩型，成人面罩型。</w:t>
            </w:r>
          </w:p>
        </w:tc>
        <w:tc>
          <w:tcPr>
            <w:tcW w:w="1877" w:type="dxa"/>
            <w:tcBorders>
              <w:top w:val="single" w:sz="6" w:space="0" w:color="auto"/>
              <w:left w:val="single" w:sz="6" w:space="0" w:color="auto"/>
              <w:bottom w:val="single" w:sz="6" w:space="0" w:color="auto"/>
              <w:right w:val="single" w:sz="6" w:space="0" w:color="auto"/>
              <w:tl2br w:val="nil"/>
              <w:tr2bl w:val="nil"/>
            </w:tcBorders>
            <w:noWrap/>
            <w:tcMar>
              <w:left w:w="0" w:type="dxa"/>
            </w:tcMar>
            <w:vAlign w:val="center"/>
          </w:tcPr>
          <w:p>
            <w:pPr>
              <w:jc w:val="center"/>
              <w:rPr>
                <w:sz w:val="24"/>
                <w:szCs w:val="24"/>
              </w:rPr>
            </w:pPr>
            <w:r>
              <w:rPr>
                <w:rFonts w:ascii="宋体" w:eastAsia="宋体"/>
                <w:color w:val="000000"/>
                <w:sz w:val="24"/>
                <w:szCs w:val="24"/>
              </w:rPr>
              <w:t>5/根</w:t>
            </w:r>
          </w:p>
        </w:tc>
      </w:tr>
      <w:tr>
        <w:trPr>
          <w:trHeight w:val="7335"/>
        </w:trPr>
        <w:tc>
          <w:tcPr>
            <w:tcW w:w="738" w:type="dxa"/>
            <w:tcBorders>
              <w:top w:val="single" w:sz="4" w:space="0" w:color="auto"/>
              <w:left w:val="single" w:sz="4" w:space="0" w:color="auto"/>
              <w:bottom w:val="single" w:sz="4" w:space="0" w:color="auto"/>
              <w:right w:val="single" w:sz="4" w:space="0" w:color="auto"/>
              <w:tl2br w:val="nil"/>
              <w:tr2bl w:val="nil"/>
            </w:tcBorders>
            <w:noWrap/>
            <w:vAlign w:val="center"/>
          </w:tcPr>
          <w:p>
            <w:pPr>
              <w:jc w:val="center"/>
              <w:rPr>
                <w:sz w:val="24"/>
                <w:szCs w:val="24"/>
              </w:rPr>
            </w:pPr>
            <w:r>
              <w:rPr>
                <w:rFonts w:ascii="宋体" w:eastAsia="宋体" w:cs="Calibri"/>
                <w:color w:val="000000"/>
                <w:sz w:val="24"/>
                <w:szCs w:val="24"/>
              </w:rPr>
              <w:t>23</w:t>
            </w:r>
          </w:p>
        </w:tc>
        <w:tc>
          <w:tcPr>
            <w:tcW w:w="2114" w:type="dxa"/>
            <w:tcBorders>
              <w:top w:val="single" w:sz="6" w:space="0" w:color="auto"/>
              <w:left w:val="single" w:sz="6" w:space="0" w:color="auto"/>
              <w:bottom w:val="single" w:sz="6" w:space="0" w:color="auto"/>
              <w:right w:val="single" w:sz="6" w:space="0" w:color="auto"/>
              <w:tl2br w:val="nil"/>
              <w:tr2bl w:val="nil"/>
            </w:tcBorders>
            <w:noWrap/>
            <w:vAlign w:val="center"/>
          </w:tcPr>
          <w:p>
            <w:pPr>
              <w:rPr>
                <w:sz w:val="24"/>
                <w:szCs w:val="24"/>
              </w:rPr>
            </w:pPr>
            <w:r>
              <w:rPr>
                <w:rFonts w:ascii="宋体" w:eastAsia="宋体"/>
                <w:color w:val="000000"/>
                <w:sz w:val="24"/>
                <w:szCs w:val="24"/>
              </w:rPr>
              <w:t>经外周中心静脉导管套装</w:t>
            </w:r>
          </w:p>
        </w:tc>
        <w:tc>
          <w:tcPr>
            <w:tcW w:w="4954" w:type="dxa"/>
            <w:tcBorders>
              <w:top w:val="single" w:sz="6" w:space="0" w:color="auto"/>
              <w:left w:val="single" w:sz="6" w:space="0" w:color="auto"/>
              <w:bottom w:val="single" w:sz="6" w:space="0" w:color="auto"/>
              <w:right w:val="single" w:sz="6" w:space="0" w:color="auto"/>
              <w:tl2br w:val="nil"/>
              <w:tr2bl w:val="nil"/>
            </w:tcBorders>
            <w:noWrap/>
            <w:vAlign w:val="center"/>
          </w:tcPr>
          <w:p>
            <w:pPr>
              <w:rPr>
                <w:sz w:val="24"/>
              </w:rPr>
            </w:pPr>
            <w:r>
              <w:rPr>
                <w:rFonts w:ascii="宋体" w:eastAsia="宋体" w:cs="Arial" w:hAnsi="宋体"/>
                <w:color w:val="000000"/>
                <w:sz w:val="24"/>
                <w:u w:val="none" w:color="auto"/>
              </w:rPr>
              <w:t>1.用于建立静脉输注通道，还可用于抽取静脉血样。</w:t>
              <w:br/>
              <w:t>2.导管由带显影标记的管身、连接件、带鲁尔接头的导丝以及手术刀片、一次性使用无菌导管鞘（由鞘套和扩张管组成，配套器械有穿刺针和导丝）和肝素帽组成，其中手术刀片、一次性使用无菌导管鞘和肝素帽为外购部件，瓣膜式导管的前端带造影堵头。后端裁剪型和预连接型产品结构区别为预连接型产品完成了导管和连接件的预组装，</w:t>
              <w:br/>
              <w:t>导管全长60-70cm，采用尾端修剪，有效防止导管脱出风险；</w:t>
              <w:br/>
              <w:t>3.三向瓣膜，有效防血栓，气栓；</w:t>
              <w:br/>
              <w:t>4.导管头端圆润设计，减少内壁刺激和损伤，降低静脉炎、静脉血栓发生率；</w:t>
              <w:br/>
              <w:t>5.导丝：采用鲁尔接头；导丝最大直径（mm):0.50;</w:t>
              <w:br/>
              <w:t>6.管身精确刻度标记，精准定位；</w:t>
              <w:br/>
              <w:t>7.导管全程X线显影。安全确定导管位置；</w:t>
              <w:br/>
              <w:t>8.半透明管身。便于观察导管内液体情况；</w:t>
              <w:br/>
              <w:t>9.高流量设计。保证临床使用需求；</w:t>
              <w:br/>
              <w:t>10.可配合心电多普勒超声一体化机器，通过超声筛选血管，多普勒判断血流，应用血管腔内心电P波准确定位（腔内心电P波反应的位置即是导管尖端的位置，导管定位降低了系统误差，尖端定位可以更加准确），三位一体技术可缩短操作时间，清晰操作视野，可减少血栓和静脉炎的发生率；</w:t>
              <w:br/>
              <w:t>11.瓣膜改性技术，导管具有导电性能，心电置管过程中，无需推注生理盐水，简化操作；</w:t>
              <w:br/>
              <w:t>12.生物相容性高；</w:t>
              <w:br/>
              <w:t>13.导管尺寸：4F，导管管路外径（mm):1.4±0.1,内径（mm）：0.85±0.1；</w:t>
              <w:br/>
              <w:t>14.导管材质：植入级硅橡胶；</w:t>
              <w:br/>
              <w:t>15.按照YY0285.l-2017附录B的方法进行试验时，每试验段的峰值拉力应≥ION；</w:t>
              <w:br/>
              <w:t>16.导管腔体：单腔；</w:t>
              <w:br/>
              <w:t>17.裁剪方式：采用尾端修剪，有效防止导管脱出风险；</w:t>
            </w:r>
          </w:p>
        </w:tc>
        <w:tc>
          <w:tcPr>
            <w:tcW w:w="1877" w:type="dxa"/>
            <w:tcBorders>
              <w:top w:val="single" w:sz="6" w:space="0" w:color="auto"/>
              <w:left w:val="single" w:sz="6" w:space="0" w:color="auto"/>
              <w:bottom w:val="single" w:sz="6" w:space="0" w:color="auto"/>
              <w:right w:val="single" w:sz="6" w:space="0" w:color="auto"/>
              <w:tl2br w:val="nil"/>
              <w:tr2bl w:val="nil"/>
            </w:tcBorders>
            <w:noWrap/>
            <w:tcMar>
              <w:left w:w="0" w:type="dxa"/>
            </w:tcMar>
            <w:vAlign w:val="center"/>
          </w:tcPr>
          <w:p>
            <w:pPr>
              <w:jc w:val="center"/>
              <w:rPr>
                <w:sz w:val="24"/>
                <w:szCs w:val="24"/>
              </w:rPr>
            </w:pPr>
            <w:r>
              <w:rPr>
                <w:rFonts w:ascii="宋体" w:eastAsia="宋体" w:cs="Arial"/>
                <w:b w:val="0"/>
                <w:i w:val="0"/>
                <w:caps w:val="0"/>
                <w:smallCaps w:val="0"/>
                <w:strike w:val="0"/>
                <w:dstrike w:val="0"/>
                <w:color w:val="000000"/>
                <w:sz w:val="24"/>
                <w:szCs w:val="24"/>
                <w:u w:val="none"/>
                <w:vertAlign w:val="baseline"/>
              </w:rPr>
              <w:t>1600/包</w:t>
            </w:r>
          </w:p>
        </w:tc>
      </w:tr>
    </w:tbl>
    <w:p>
      <w:pPr>
        <w:spacing w:line="360" w:lineRule="auto"/>
        <w:rPr>
          <w:b/>
          <w:bCs/>
          <w:sz w:val="24"/>
          <w:lang w:val="en-US" w:eastAsia="zh-CN"/>
        </w:rPr>
      </w:pPr>
    </w:p>
    <w:p>
      <w:pPr>
        <w:numPr>
          <w:ilvl w:val="0"/>
          <w:numId w:val="1"/>
        </w:numPr>
        <w:spacing w:line="360" w:lineRule="auto"/>
        <w:ind w:left="0" w:firstLineChars="200" w:firstLine="480"/>
        <w:rPr>
          <w:rFonts w:hint="eastAsia"/>
          <w:b/>
          <w:bCs/>
          <w:sz w:val="24"/>
          <w:lang w:val="en-US" w:eastAsia="zh-CN"/>
        </w:rPr>
      </w:pPr>
      <w:bookmarkEnd w:id="1"/>
      <w:r>
        <w:rPr>
          <w:rFonts w:hint="eastAsia"/>
          <w:b/>
          <w:bCs/>
          <w:sz w:val="24"/>
        </w:rPr>
        <w:t>供应商参加本次</w:t>
      </w:r>
      <w:r>
        <w:rPr>
          <w:rFonts w:hint="eastAsia"/>
          <w:b/>
          <w:bCs/>
          <w:sz w:val="24"/>
          <w:lang w:val="en-US" w:eastAsia="zh-CN"/>
        </w:rPr>
        <w:t>采购</w:t>
      </w:r>
      <w:r>
        <w:rPr>
          <w:rFonts w:hint="eastAsia"/>
          <w:b/>
          <w:bCs/>
          <w:sz w:val="24"/>
        </w:rPr>
        <w:t>活动</w:t>
      </w:r>
      <w:r>
        <w:rPr>
          <w:rFonts w:hint="eastAsia"/>
          <w:b/>
          <w:bCs/>
          <w:sz w:val="24"/>
          <w:lang w:val="en-US" w:eastAsia="zh-CN"/>
        </w:rPr>
        <w:t>提供的</w:t>
      </w:r>
      <w:r>
        <w:rPr>
          <w:b/>
          <w:bCs/>
          <w:sz w:val="24"/>
          <w:lang w:val="en-US" w:eastAsia="zh-CN"/>
        </w:rPr>
        <w:t>资质材料</w:t>
      </w:r>
    </w:p>
    <w:p>
      <w:pPr>
        <w:keepNext w:val="0"/>
        <w:keepLines w:val="0"/>
        <w:pageBreakBefore w:val="0"/>
        <w:widowControl w:val="0"/>
        <w:numPr>
          <w:ilvl w:val="0"/>
          <w:numId w:val="0"/>
        </w:numPr>
        <w:kinsoku/>
        <w:wordWrap/>
        <w:overflowPunct/>
        <w:topLinePunct w:val="0"/>
        <w:autoSpaceDE/>
        <w:autoSpaceDN/>
        <w:adjustRightInd/>
        <w:snapToGrid/>
        <w:spacing w:line="360" w:lineRule="auto"/>
        <w:ind w:left="720"/>
        <w:jc w:val="left"/>
        <w:rPr>
          <w:rFonts w:ascii="宋体" w:cs="宋体" w:hAnsi="宋体"/>
          <w:color w:val="222222"/>
          <w:sz w:val="24"/>
        </w:rPr>
      </w:pPr>
      <w:r>
        <w:rPr>
          <w:rFonts w:ascii="宋体" w:eastAsia="宋体" w:cs="宋体" w:hAnsi="宋体"/>
          <w:i w:val="0"/>
          <w:iCs w:val="0"/>
          <w:caps w:val="0"/>
          <w:smallCaps w:val="0"/>
          <w:color w:val="222222"/>
          <w:spacing w:val="0"/>
          <w:sz w:val="24"/>
          <w:szCs w:val="24"/>
        </w:rPr>
        <w:t>供应商提供营业执照和医疗器械经营许可证或第二类医疗器械经营备案凭证</w:t>
      </w:r>
    </w:p>
    <w:p>
      <w:pPr>
        <w:spacing w:line="360" w:lineRule="auto"/>
        <w:ind w:firstLineChars="300" w:firstLine="720"/>
        <w:rPr>
          <w:rFonts w:ascii="宋体" w:cs="Times New Roman" w:hAnsi="宋体" w:hint="eastAsia"/>
          <w:b/>
          <w:kern w:val="0"/>
          <w:sz w:val="24"/>
        </w:rPr>
      </w:pPr>
      <w:r>
        <w:rPr>
          <w:rFonts w:hint="eastAsia"/>
          <w:b/>
          <w:bCs/>
          <w:sz w:val="24"/>
          <w:lang w:eastAsia="zh-CN"/>
        </w:rPr>
        <w:t>四</w:t>
      </w:r>
      <w:r>
        <w:rPr>
          <w:rFonts w:hint="eastAsia"/>
          <w:b/>
          <w:bCs/>
          <w:sz w:val="24"/>
        </w:rPr>
        <w:t>、</w:t>
      </w:r>
      <w:r>
        <w:rPr>
          <w:rFonts w:ascii="宋体" w:cs="Times New Roman" w:hAnsi="宋体" w:hint="eastAsia"/>
          <w:b/>
          <w:kern w:val="0"/>
          <w:sz w:val="24"/>
        </w:rPr>
        <w:t>商务要求</w:t>
      </w:r>
    </w:p>
    <w:p>
      <w:pPr>
        <w:pStyle w:val="20"/>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right="0" w:firstLineChars="300" w:firstLine="720"/>
        <w:jc w:val="left"/>
        <w:textAlignment w:val="auto"/>
        <w:rPr>
          <w:rFonts w:ascii="宋体" w:eastAsia="宋体" w:cs="宋体" w:hAnsi="宋体"/>
          <w:kern w:val="2"/>
          <w:sz w:val="24"/>
          <w:szCs w:val="24"/>
          <w:lang w:val="en-US" w:eastAsia="zh-CN" w:bidi="ar-SA"/>
        </w:rPr>
      </w:pPr>
      <w:r>
        <w:rPr>
          <w:rFonts w:ascii="宋体" w:eastAsia="宋体" w:cs="宋体" w:hAnsi="宋体" w:hint="eastAsia"/>
          <w:kern w:val="2"/>
          <w:sz w:val="24"/>
          <w:szCs w:val="24"/>
          <w:lang w:val="en-US" w:eastAsia="zh-CN" w:bidi="ar-SA"/>
        </w:rPr>
        <w:t>（一）报价要求</w:t>
      </w:r>
      <w:bookmarkStart w:id="2" w:name="_GoBack"/>
      <w:bookmarkEnd w:id="2"/>
    </w:p>
    <w:p>
      <w:pPr>
        <w:pStyle w:val="20"/>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Chars="200" w:firstLine="480"/>
        <w:jc w:val="left"/>
        <w:textAlignment w:val="auto"/>
        <w:rPr>
          <w:rFonts w:ascii="宋体" w:eastAsia="宋体" w:cs="宋体" w:hAnsi="宋体"/>
          <w:kern w:val="2"/>
          <w:sz w:val="24"/>
          <w:szCs w:val="24"/>
          <w:lang w:val="en-US" w:eastAsia="zh-CN" w:bidi="ar-SA"/>
        </w:rPr>
      </w:pPr>
      <w:r>
        <w:rPr>
          <w:rFonts w:ascii="宋体" w:eastAsia="宋体" w:cs="宋体" w:hAnsi="宋体" w:hint="eastAsia"/>
          <w:kern w:val="2"/>
          <w:sz w:val="24"/>
          <w:szCs w:val="24"/>
          <w:lang w:val="en-US" w:eastAsia="zh-CN" w:bidi="ar-SA"/>
        </w:rPr>
        <w:t>1.参加报价的供应商对附件各包进行相应单独报价，每个包单独密封。报价文件包括该产品的资质，所报价格应包括货物成本、运输、人工、检测、培训、利润、税金等不可预见措施所有费用。因医用耗材的特殊性，本次各包报价邀请的供应商参与数量≥1家。</w:t>
      </w:r>
    </w:p>
    <w:p>
      <w:pPr>
        <w:spacing w:line="360" w:lineRule="auto"/>
        <w:rPr>
          <w:sz w:val="24"/>
          <w:lang w:val="en-US"/>
        </w:rPr>
      </w:pPr>
      <w:r>
        <w:rPr>
          <w:rFonts w:hint="eastAsia"/>
          <w:sz w:val="24"/>
        </w:rPr>
        <w:t xml:space="preserve">    2、所报</w:t>
      </w:r>
      <w:r>
        <w:rPr>
          <w:rFonts w:hint="eastAsia"/>
          <w:sz w:val="24"/>
          <w:lang w:eastAsia="zh-CN"/>
        </w:rPr>
        <w:t>耗材</w:t>
      </w:r>
      <w:r>
        <w:rPr>
          <w:rFonts w:hint="eastAsia"/>
          <w:sz w:val="24"/>
        </w:rPr>
        <w:t>必须</w:t>
      </w:r>
      <w:r>
        <w:rPr>
          <w:rFonts w:eastAsia="宋体" w:hint="eastAsia"/>
          <w:sz w:val="24"/>
          <w:lang w:eastAsia="zh-CN"/>
        </w:rPr>
        <w:t>符合《医疗器械监督管理条例》的要求</w:t>
      </w:r>
      <w:r>
        <w:rPr>
          <w:rFonts w:hint="eastAsia"/>
          <w:sz w:val="24"/>
          <w:lang w:eastAsia="zh-CN"/>
        </w:rPr>
        <w:t>，</w:t>
      </w:r>
      <w:r>
        <w:rPr>
          <w:rFonts w:hint="eastAsia"/>
          <w:sz w:val="24"/>
          <w:lang w:val="en-US" w:eastAsia="zh-CN"/>
        </w:rPr>
        <w:t>并提供产品相关资质（包括但不限于</w:t>
      </w:r>
      <w:r>
        <w:rPr>
          <w:sz w:val="24"/>
          <w:lang w:val="en-US" w:eastAsia="zh-CN"/>
        </w:rPr>
        <w:t>生产厂家营业执照、生产许可证和经营许可证、</w:t>
      </w:r>
      <w:r>
        <w:rPr>
          <w:rFonts w:hint="eastAsia"/>
          <w:sz w:val="24"/>
          <w:lang w:val="en-US" w:eastAsia="zh-CN"/>
        </w:rPr>
        <w:t>产品注册登记表、说明书、彩页等）</w:t>
      </w:r>
      <w:r>
        <w:rPr>
          <w:sz w:val="24"/>
          <w:lang w:val="en-US" w:eastAsia="zh-CN"/>
        </w:rPr>
        <w:t>及符合参数的证明材料</w:t>
      </w:r>
      <w:r>
        <w:rPr>
          <w:rFonts w:hint="eastAsia"/>
          <w:sz w:val="24"/>
          <w:lang w:val="en-US" w:eastAsia="zh-CN"/>
        </w:rPr>
        <w:t>。</w:t>
      </w:r>
    </w:p>
    <w:p>
      <w:pPr>
        <w:spacing w:line="360" w:lineRule="auto"/>
        <w:ind w:firstLineChars="200" w:firstLine="480"/>
        <w:rPr>
          <w:rFonts w:hint="eastAsia"/>
          <w:sz w:val="24"/>
        </w:rPr>
      </w:pPr>
      <w:r>
        <w:rPr>
          <w:rFonts w:hint="eastAsia"/>
          <w:sz w:val="24"/>
          <w:lang w:val="en-US" w:eastAsia="zh-CN"/>
        </w:rPr>
        <w:t>3.</w:t>
      </w:r>
      <w:r>
        <w:rPr>
          <w:rFonts w:hint="eastAsia"/>
          <w:sz w:val="24"/>
        </w:rPr>
        <w:t>所报</w:t>
      </w:r>
      <w:r>
        <w:rPr>
          <w:rFonts w:hint="eastAsia"/>
          <w:sz w:val="24"/>
          <w:lang w:eastAsia="zh-CN"/>
        </w:rPr>
        <w:t>耗材</w:t>
      </w:r>
      <w:r>
        <w:rPr>
          <w:rFonts w:hint="eastAsia"/>
          <w:sz w:val="24"/>
        </w:rPr>
        <w:t>必须在</w:t>
      </w:r>
      <w:r>
        <w:rPr>
          <w:rFonts w:hint="eastAsia"/>
          <w:sz w:val="24"/>
          <w:lang w:val="en-US" w:eastAsia="zh-CN"/>
        </w:rPr>
        <w:t>四川省医保公共服务平台</w:t>
      </w:r>
      <w:r>
        <w:rPr>
          <w:rFonts w:hint="eastAsia"/>
          <w:sz w:val="24"/>
          <w:lang w:eastAsia="zh-CN"/>
        </w:rPr>
        <w:t>药品和医用耗材招采管理系统</w:t>
      </w:r>
      <w:r>
        <w:rPr>
          <w:rFonts w:hint="eastAsia"/>
          <w:sz w:val="24"/>
        </w:rPr>
        <w:t>挂网</w:t>
      </w:r>
      <w:r>
        <w:rPr>
          <w:rFonts w:hint="eastAsia"/>
          <w:sz w:val="24"/>
          <w:lang w:val="en-US" w:eastAsia="zh-CN"/>
        </w:rPr>
        <w:t>产品</w:t>
      </w:r>
      <w:r>
        <w:rPr>
          <w:rFonts w:hint="eastAsia"/>
          <w:sz w:val="24"/>
          <w:lang w:eastAsia="zh-CN"/>
        </w:rPr>
        <w:t>（非挂网产品除外）</w:t>
      </w:r>
      <w:r>
        <w:rPr>
          <w:rFonts w:hint="eastAsia"/>
          <w:sz w:val="24"/>
        </w:rPr>
        <w:t>，</w:t>
      </w:r>
      <w:r>
        <w:rPr>
          <w:rFonts w:hint="eastAsia"/>
          <w:sz w:val="24"/>
          <w:lang w:val="en-US" w:eastAsia="zh-CN"/>
        </w:rPr>
        <w:t>报价</w:t>
      </w:r>
      <w:r>
        <w:rPr>
          <w:rFonts w:hint="eastAsia"/>
          <w:sz w:val="24"/>
        </w:rPr>
        <w:t>不高于</w:t>
      </w:r>
      <w:r>
        <w:rPr>
          <w:rFonts w:hint="eastAsia"/>
          <w:sz w:val="24"/>
          <w:lang w:val="en-US" w:eastAsia="zh-CN"/>
        </w:rPr>
        <w:t>我省最高参考价、联动参考价和截止上月末加权平均价中的最低价</w:t>
      </w:r>
      <w:r>
        <w:rPr>
          <w:rFonts w:hint="eastAsia"/>
          <w:sz w:val="24"/>
        </w:rPr>
        <w:t>；非挂网产品需提供近两年内其他同级医院的同型号产品的销售发票或中标（成交）通知书，请勿涂抹，否则视为无效报价</w:t>
      </w:r>
      <w:r>
        <w:rPr>
          <w:rFonts w:hint="eastAsia"/>
          <w:sz w:val="24"/>
          <w:lang w:eastAsia="zh-CN"/>
        </w:rPr>
        <w:t>（</w:t>
      </w:r>
      <w:r>
        <w:rPr>
          <w:rFonts w:hint="eastAsia"/>
          <w:sz w:val="24"/>
          <w:lang w:val="en-US" w:eastAsia="zh-CN"/>
        </w:rPr>
        <w:t>定制的除外</w:t>
      </w:r>
      <w:r>
        <w:rPr>
          <w:rFonts w:hint="eastAsia"/>
          <w:sz w:val="24"/>
          <w:lang w:eastAsia="zh-CN"/>
        </w:rPr>
        <w:t>）。</w:t>
      </w:r>
    </w:p>
    <w:p>
      <w:pPr>
        <w:spacing w:line="360" w:lineRule="auto"/>
        <w:ind w:firstLineChars="200" w:firstLine="480"/>
        <w:rPr>
          <w:rFonts w:hint="eastAsia"/>
          <w:sz w:val="24"/>
        </w:rPr>
      </w:pPr>
      <w:r>
        <w:rPr>
          <w:rFonts w:hint="eastAsia"/>
          <w:sz w:val="24"/>
          <w:lang w:val="en-US" w:eastAsia="zh-CN"/>
        </w:rPr>
        <w:t>4.</w:t>
      </w:r>
      <w:r>
        <w:rPr>
          <w:rFonts w:hint="eastAsia"/>
          <w:sz w:val="24"/>
        </w:rPr>
        <w:t>供应商所报</w:t>
      </w:r>
      <w:r>
        <w:rPr>
          <w:rFonts w:hint="eastAsia"/>
          <w:sz w:val="24"/>
          <w:lang w:val="en-US" w:eastAsia="zh-CN"/>
        </w:rPr>
        <w:t>挂网</w:t>
      </w:r>
      <w:r>
        <w:rPr>
          <w:rFonts w:hint="eastAsia"/>
          <w:sz w:val="24"/>
        </w:rPr>
        <w:t>产品最终价格必须同意在四川省药品和医用耗材招采管理系统挂网确认，否则视为无效投标</w:t>
      </w:r>
      <w:r>
        <w:rPr>
          <w:rFonts w:hint="eastAsia"/>
          <w:sz w:val="24"/>
          <w:lang w:eastAsia="zh-CN"/>
        </w:rPr>
        <w:t>。</w:t>
      </w:r>
    </w:p>
    <w:p>
      <w:pPr>
        <w:spacing w:line="360" w:lineRule="auto"/>
        <w:ind w:firstLineChars="200" w:firstLine="480"/>
        <w:rPr>
          <w:rFonts w:hint="eastAsia"/>
          <w:sz w:val="24"/>
        </w:rPr>
      </w:pPr>
      <w:r>
        <w:rPr>
          <w:rFonts w:hint="eastAsia"/>
          <w:sz w:val="24"/>
          <w:lang w:val="en-US" w:eastAsia="zh-CN"/>
        </w:rPr>
        <w:t>5.报价</w:t>
      </w:r>
      <w:r>
        <w:rPr>
          <w:rFonts w:hint="eastAsia"/>
          <w:sz w:val="24"/>
        </w:rPr>
        <w:t>均以人民币</w:t>
      </w:r>
      <w:r>
        <w:rPr>
          <w:rFonts w:hint="eastAsia"/>
          <w:sz w:val="24"/>
          <w:lang w:eastAsia="zh-CN"/>
        </w:rPr>
        <w:t>报价</w:t>
      </w:r>
      <w:r>
        <w:rPr>
          <w:rFonts w:hint="eastAsia"/>
          <w:sz w:val="24"/>
        </w:rPr>
        <w:t>，均采用国家法定的计量单位。</w:t>
      </w:r>
    </w:p>
    <w:p>
      <w:pPr>
        <w:spacing w:line="360" w:lineRule="auto"/>
        <w:ind w:firstLineChars="200" w:firstLine="480"/>
        <w:rPr>
          <w:sz w:val="24"/>
          <w:lang w:val="en-US" w:eastAsia="zh-CN"/>
        </w:rPr>
      </w:pPr>
      <w:r>
        <w:rPr>
          <w:rFonts w:hint="eastAsia"/>
          <w:sz w:val="24"/>
          <w:lang w:val="en-US" w:eastAsia="zh-CN"/>
        </w:rPr>
        <w:t>6.所报耗材价格应严格按耗材报价一览表所要求的内容进行详细报价，因各制造商产品注册名称等信息差异，所以产品名称可以不限于采购名称和规格，但产品功能必须满足临床使用要求，并提供相应佐证材料。</w:t>
      </w:r>
    </w:p>
    <w:p>
      <w:pPr>
        <w:spacing w:line="360" w:lineRule="auto"/>
        <w:ind w:firstLineChars="200" w:firstLine="480"/>
        <w:rPr>
          <w:rFonts w:hint="eastAsia"/>
          <w:sz w:val="24"/>
          <w:lang w:val="en-US" w:eastAsia="zh-CN"/>
        </w:rPr>
      </w:pPr>
      <w:r>
        <w:rPr>
          <w:rFonts w:hint="eastAsia"/>
          <w:sz w:val="24"/>
          <w:lang w:val="en-US" w:eastAsia="zh-CN"/>
        </w:rPr>
        <w:t xml:space="preserve"> 7.在报价文件密封袋封面详细注明所报产品和包号。</w:t>
      </w:r>
    </w:p>
    <w:p>
      <w:pPr>
        <w:numPr>
          <w:ilvl w:val="0"/>
          <w:numId w:val="0"/>
        </w:numPr>
        <w:spacing w:line="360" w:lineRule="auto"/>
        <w:ind w:left="0" w:firstLineChars="300" w:firstLine="720"/>
        <w:rPr>
          <w:rFonts w:hint="eastAsia"/>
          <w:sz w:val="24"/>
          <w:lang w:val="en-US" w:eastAsia="zh-CN"/>
        </w:rPr>
      </w:pPr>
      <w:r>
        <w:rPr>
          <w:rFonts w:hint="eastAsia"/>
          <w:sz w:val="24"/>
          <w:lang w:val="en-US" w:eastAsia="zh-CN"/>
        </w:rPr>
        <w:t>（二）质量要求：</w:t>
      </w:r>
    </w:p>
    <w:p>
      <w:pPr>
        <w:numPr>
          <w:ilvl w:val="0"/>
          <w:numId w:val="0"/>
        </w:numPr>
        <w:spacing w:line="360" w:lineRule="auto"/>
        <w:ind w:left="42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1.配送产品的名称、规格、价格、包装等信息须与《药品和耗材招采管理系统》公布的产品信息一致，不得更改；无法在《药品和耗材招采管理系统》中查询信息的产品，须与产品注册证号载明的名称或注册备案名称一致。</w:t>
      </w:r>
    </w:p>
    <w:p>
      <w:pPr>
        <w:numPr>
          <w:ilvl w:val="0"/>
          <w:numId w:val="0"/>
        </w:numPr>
        <w:spacing w:line="360" w:lineRule="auto"/>
        <w:ind w:left="420" w:firstLineChars="200" w:firstLine="480"/>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2、供应商所提供的产品应符合国家医疗器械质量标准或有关安全、环保、卫生等标准及合同约定的生产厂家、规格型号、技术性能、质量等要求，确保临床使用安全有效。关于质量标准，有强制性国家标准的，按照强制性国家标准履行；没有强制性国家标准的，按照推荐性国家标准履行；没有推荐性国家标准的，按照行业标准履行；没有国家标准、行业标准的，按照通常标准或者符合合同目的的特定标准履行。</w:t>
      </w:r>
    </w:p>
    <w:p>
      <w:pPr>
        <w:numPr>
          <w:ilvl w:val="0"/>
          <w:numId w:val="0"/>
        </w:numPr>
        <w:spacing w:line="360" w:lineRule="auto"/>
        <w:ind w:left="42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3.供应商应向采购人提交配送产品的相关资料，包括但不限于质量检验报告、合格证书、随货单、税票等，进口产品应附上报关单等证明材料。上述文件应包装好随产品一同发运。上述材料是采购人办理入库验收和结算支付的必要依据，若供应商提供的材料不全或不符合要求的，采购人有权不予验收，直至其补齐所有合格文件。</w:t>
      </w:r>
    </w:p>
    <w:p>
      <w:pPr>
        <w:numPr>
          <w:ilvl w:val="0"/>
          <w:numId w:val="0"/>
        </w:numPr>
        <w:spacing w:line="360" w:lineRule="auto"/>
        <w:ind w:left="42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（三）包装方式及运输方式</w:t>
      </w:r>
    </w:p>
    <w:p>
      <w:pPr>
        <w:numPr>
          <w:ilvl w:val="0"/>
          <w:numId w:val="0"/>
        </w:numPr>
        <w:spacing w:line="360" w:lineRule="auto"/>
        <w:ind w:left="42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1.供应商提供的全部产品必须是正品正货，产品包装和内容一致。涉及的商品包装和快递包装，均应符合《商品包装政府采购需求标准（试行）》《快递包装政府采购需求标准（试行）》的要求，包装应适应于远距离运输、防潮、防震、防锈和防野蛮装卸，以确保货物安全无损运抵采购人指定地点。符合《医疗器械监督管理条例》要求的中文说明书、标签和包装标识，耗材包装上（包括大包装、小包装等）必须附有名称、批号、产地、规格、型号、有效期等国家规定的中文标识。每一个包装箱内应附一份合格证明，如非整件则须附有加盖鲜章的合格证明的复印件</w:t>
      </w:r>
    </w:p>
    <w:p>
      <w:pPr>
        <w:numPr>
          <w:ilvl w:val="0"/>
          <w:numId w:val="0"/>
        </w:numPr>
        <w:spacing w:line="360" w:lineRule="auto"/>
        <w:ind w:left="42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2、凡所供产品因供应商在包装、快递、运输等环节中出现问题导致损坏、灭失的，均由供应商无偿负责退、换货，相关损失由供应商自行承担。</w:t>
      </w:r>
    </w:p>
    <w:p>
      <w:pPr>
        <w:numPr>
          <w:ilvl w:val="0"/>
          <w:numId w:val="0"/>
        </w:numPr>
        <w:spacing w:line="360" w:lineRule="auto"/>
        <w:ind w:left="42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（四）产品性能与效期</w:t>
      </w:r>
    </w:p>
    <w:p>
      <w:pPr>
        <w:numPr>
          <w:ilvl w:val="0"/>
          <w:numId w:val="0"/>
        </w:numPr>
        <w:spacing w:line="360" w:lineRule="auto"/>
        <w:ind w:left="420" w:firstLineChars="200" w:firstLine="480"/>
        <w:jc w:val="left"/>
        <w:rPr>
          <w:rFonts w:ascii="Times New Roman" w:cs="宋体" w:hAnsi="Times New Roman"/>
          <w:sz w:val="24"/>
          <w:lang w:val="en-US" w:eastAsia="zh-CN"/>
          <w:highlight w:val="none"/>
        </w:rPr>
      </w:pPr>
      <w:r>
        <w:rPr>
          <w:rFonts w:ascii="Times New Roman" w:cs="宋体" w:hAnsi="Times New Roman" w:hint="eastAsia"/>
          <w:sz w:val="24"/>
          <w:lang w:val="en-US" w:eastAsia="zh-CN"/>
          <w:highlight w:val="none"/>
        </w:rPr>
        <w:t>1.供应商</w:t>
      </w:r>
      <w:r>
        <w:rPr>
          <w:rFonts w:ascii="Times New Roman" w:cs="宋体" w:hAnsi="Times New Roman"/>
          <w:sz w:val="24"/>
          <w:lang w:val="en-US" w:eastAsia="zh-CN"/>
          <w:highlight w:val="none"/>
        </w:rPr>
        <w:t>应保证提供的</w:t>
      </w:r>
      <w:r>
        <w:rPr>
          <w:rFonts w:ascii="Times New Roman" w:cs="宋体" w:hAnsi="Times New Roman" w:hint="eastAsia"/>
          <w:sz w:val="24"/>
          <w:lang w:val="en-US" w:eastAsia="zh-CN"/>
          <w:highlight w:val="none"/>
        </w:rPr>
        <w:t>产品</w:t>
      </w:r>
      <w:r>
        <w:rPr>
          <w:rFonts w:ascii="Times New Roman" w:cs="宋体" w:hAnsi="Times New Roman"/>
          <w:sz w:val="24"/>
          <w:lang w:val="en-US" w:eastAsia="zh-CN"/>
          <w:highlight w:val="none"/>
        </w:rPr>
        <w:t>完全符合</w:t>
      </w:r>
      <w:r>
        <w:rPr>
          <w:rFonts w:ascii="Times New Roman" w:cs="宋体" w:hAnsi="Times New Roman" w:hint="eastAsia"/>
          <w:sz w:val="24"/>
          <w:lang w:val="en-US" w:eastAsia="zh-CN"/>
          <w:highlight w:val="none"/>
        </w:rPr>
        <w:t>相关</w:t>
      </w:r>
      <w:r>
        <w:rPr>
          <w:rFonts w:ascii="Times New Roman" w:cs="宋体" w:hAnsi="Times New Roman"/>
          <w:sz w:val="24"/>
          <w:lang w:val="en-US" w:eastAsia="zh-CN"/>
          <w:highlight w:val="none"/>
        </w:rPr>
        <w:t>质量</w:t>
      </w:r>
      <w:r>
        <w:rPr>
          <w:rFonts w:ascii="Times New Roman" w:cs="宋体" w:hAnsi="Times New Roman" w:hint="eastAsia"/>
          <w:sz w:val="24"/>
          <w:lang w:val="en-US" w:eastAsia="zh-CN"/>
          <w:highlight w:val="none"/>
        </w:rPr>
        <w:t>标准及</w:t>
      </w:r>
      <w:r>
        <w:rPr>
          <w:rFonts w:ascii="Times New Roman" w:cs="宋体" w:hAnsi="Times New Roman"/>
          <w:sz w:val="24"/>
          <w:lang w:val="en-US" w:eastAsia="zh-CN"/>
          <w:highlight w:val="none"/>
        </w:rPr>
        <w:t>性能要求。</w:t>
      </w:r>
      <w:r>
        <w:rPr>
          <w:rFonts w:ascii="Times New Roman" w:cs="宋体" w:hAnsi="Times New Roman" w:hint="eastAsia"/>
          <w:sz w:val="24"/>
          <w:lang w:val="en-US" w:eastAsia="zh-CN"/>
          <w:highlight w:val="none"/>
        </w:rPr>
        <w:t>供应商</w:t>
      </w:r>
      <w:r>
        <w:rPr>
          <w:rFonts w:ascii="Times New Roman" w:cs="宋体" w:hAnsi="Times New Roman"/>
          <w:sz w:val="24"/>
          <w:lang w:val="en-US" w:eastAsia="zh-CN"/>
          <w:highlight w:val="none"/>
        </w:rPr>
        <w:t>应保证</w:t>
      </w:r>
      <w:r>
        <w:rPr>
          <w:rFonts w:ascii="Times New Roman" w:cs="宋体" w:hAnsi="Times New Roman" w:hint="eastAsia"/>
          <w:sz w:val="24"/>
          <w:lang w:val="en-US" w:eastAsia="zh-CN"/>
          <w:highlight w:val="none"/>
        </w:rPr>
        <w:t>产品</w:t>
      </w:r>
      <w:r>
        <w:rPr>
          <w:rFonts w:ascii="Times New Roman" w:cs="宋体" w:hAnsi="Times New Roman"/>
          <w:sz w:val="24"/>
          <w:lang w:val="en-US" w:eastAsia="zh-CN"/>
          <w:highlight w:val="none"/>
        </w:rPr>
        <w:t>在正常使用和保养条件下，在其使用寿命期内具备合同约定的性能。</w:t>
      </w:r>
    </w:p>
    <w:p>
      <w:pPr>
        <w:numPr>
          <w:ilvl w:val="0"/>
          <w:numId w:val="0"/>
        </w:numPr>
        <w:spacing w:line="360" w:lineRule="auto"/>
        <w:ind w:left="420" w:firstLineChars="200" w:firstLine="480"/>
        <w:jc w:val="left"/>
        <w:rPr>
          <w:rFonts w:ascii="Times New Roman" w:cs="宋体" w:hAnsi="Times New Roman"/>
          <w:sz w:val="24"/>
          <w:lang w:val="en-US" w:eastAsia="zh-CN"/>
          <w:highlight w:val="none"/>
        </w:rPr>
      </w:pPr>
      <w:r>
        <w:rPr>
          <w:rFonts w:ascii="Times New Roman" w:cs="宋体" w:hAnsi="Times New Roman" w:hint="eastAsia"/>
          <w:sz w:val="24"/>
          <w:lang w:val="en-US" w:eastAsia="zh-CN"/>
          <w:highlight w:val="none"/>
        </w:rPr>
        <w:t>2、供应商</w:t>
      </w:r>
      <w:r>
        <w:rPr>
          <w:rFonts w:ascii="Times New Roman" w:cs="宋体" w:hAnsi="Times New Roman"/>
          <w:sz w:val="24"/>
          <w:lang w:val="en-US" w:eastAsia="zh-CN"/>
          <w:highlight w:val="none"/>
        </w:rPr>
        <w:t>所送试剂耗材有效期限不得少于整个耗材有效期的一半，近效期</w:t>
      </w:r>
      <w:r>
        <w:rPr>
          <w:rFonts w:ascii="Times New Roman" w:cs="宋体" w:hAnsi="Times New Roman" w:hint="eastAsia"/>
          <w:sz w:val="24"/>
          <w:lang w:val="en-US" w:eastAsia="zh-CN"/>
          <w:highlight w:val="none"/>
        </w:rPr>
        <w:t>（近效期指剩余有效期小于三个月）</w:t>
      </w:r>
      <w:r>
        <w:rPr>
          <w:rFonts w:ascii="Times New Roman" w:cs="宋体" w:hAnsi="Times New Roman"/>
          <w:sz w:val="24"/>
          <w:lang w:val="en-US" w:eastAsia="zh-CN"/>
          <w:highlight w:val="none"/>
        </w:rPr>
        <w:t>耗材</w:t>
      </w:r>
      <w:r>
        <w:rPr>
          <w:rFonts w:ascii="Times New Roman" w:cs="宋体" w:hAnsi="Times New Roman" w:hint="eastAsia"/>
          <w:sz w:val="24"/>
          <w:lang w:val="en-US" w:eastAsia="zh-CN"/>
          <w:highlight w:val="none"/>
        </w:rPr>
        <w:t>采购人</w:t>
      </w:r>
      <w:r>
        <w:rPr>
          <w:rFonts w:ascii="Times New Roman" w:cs="宋体" w:hAnsi="Times New Roman"/>
          <w:sz w:val="24"/>
          <w:lang w:val="en-US" w:eastAsia="zh-CN"/>
          <w:highlight w:val="none"/>
        </w:rPr>
        <w:t>有权拒收，</w:t>
      </w:r>
      <w:r>
        <w:rPr>
          <w:rFonts w:ascii="Times New Roman" w:cs="宋体" w:hAnsi="Times New Roman" w:hint="eastAsia"/>
          <w:sz w:val="24"/>
          <w:lang w:val="en-US" w:eastAsia="zh-CN"/>
          <w:highlight w:val="none"/>
        </w:rPr>
        <w:t>产品临近效期或过期的</w:t>
      </w:r>
      <w:r>
        <w:rPr>
          <w:rFonts w:ascii="Times New Roman" w:cs="宋体" w:hAnsi="Times New Roman"/>
          <w:sz w:val="24"/>
          <w:lang w:val="en-US" w:eastAsia="zh-CN"/>
          <w:highlight w:val="none"/>
        </w:rPr>
        <w:t>，</w:t>
      </w:r>
      <w:r>
        <w:rPr>
          <w:rFonts w:ascii="Times New Roman" w:cs="宋体" w:hAnsi="Times New Roman" w:hint="eastAsia"/>
          <w:sz w:val="24"/>
          <w:lang w:val="en-US" w:eastAsia="zh-CN"/>
          <w:highlight w:val="none"/>
        </w:rPr>
        <w:t>供应商</w:t>
      </w:r>
      <w:r>
        <w:rPr>
          <w:rFonts w:ascii="Times New Roman" w:cs="宋体" w:hAnsi="Times New Roman"/>
          <w:sz w:val="24"/>
          <w:lang w:val="en-US" w:eastAsia="zh-CN"/>
          <w:highlight w:val="none"/>
        </w:rPr>
        <w:t>在接到</w:t>
      </w:r>
      <w:r>
        <w:rPr>
          <w:rFonts w:ascii="Times New Roman" w:cs="宋体" w:hAnsi="Times New Roman" w:hint="eastAsia"/>
          <w:sz w:val="24"/>
          <w:lang w:val="en-US" w:eastAsia="zh-CN"/>
          <w:highlight w:val="none"/>
        </w:rPr>
        <w:t>采购人</w:t>
      </w:r>
      <w:r>
        <w:rPr>
          <w:rFonts w:ascii="Times New Roman" w:cs="宋体" w:hAnsi="Times New Roman"/>
          <w:sz w:val="24"/>
          <w:lang w:val="en-US" w:eastAsia="zh-CN"/>
          <w:highlight w:val="none"/>
        </w:rPr>
        <w:t>通知后，应在5个工作日内</w:t>
      </w:r>
      <w:r>
        <w:rPr>
          <w:rFonts w:ascii="Times New Roman" w:cs="宋体" w:hAnsi="Times New Roman" w:hint="eastAsia"/>
          <w:sz w:val="24"/>
          <w:lang w:val="en-US" w:eastAsia="zh-CN"/>
          <w:highlight w:val="none"/>
        </w:rPr>
        <w:t>对临近</w:t>
      </w:r>
      <w:r>
        <w:rPr>
          <w:rFonts w:ascii="Times New Roman" w:cs="宋体" w:hAnsi="Times New Roman"/>
          <w:sz w:val="24"/>
          <w:lang w:val="en-US" w:eastAsia="zh-CN"/>
          <w:highlight w:val="none"/>
        </w:rPr>
        <w:t>效期</w:t>
      </w:r>
      <w:r>
        <w:rPr>
          <w:rFonts w:ascii="Times New Roman" w:cs="宋体" w:hAnsi="Times New Roman" w:hint="eastAsia"/>
          <w:sz w:val="24"/>
          <w:lang w:val="en-US" w:eastAsia="zh-CN"/>
          <w:highlight w:val="none"/>
        </w:rPr>
        <w:t>或</w:t>
      </w:r>
      <w:r>
        <w:rPr>
          <w:rFonts w:ascii="Times New Roman" w:cs="宋体" w:hAnsi="Times New Roman"/>
          <w:sz w:val="24"/>
          <w:lang w:val="en-US" w:eastAsia="zh-CN"/>
          <w:highlight w:val="none"/>
        </w:rPr>
        <w:t>过期产品</w:t>
      </w:r>
      <w:r>
        <w:rPr>
          <w:rFonts w:ascii="Times New Roman" w:cs="宋体" w:hAnsi="Times New Roman" w:hint="eastAsia"/>
          <w:sz w:val="24"/>
          <w:lang w:val="en-US" w:eastAsia="zh-CN"/>
          <w:highlight w:val="none"/>
        </w:rPr>
        <w:t>进行</w:t>
      </w:r>
      <w:r>
        <w:rPr>
          <w:rFonts w:ascii="Times New Roman" w:cs="宋体" w:hAnsi="Times New Roman"/>
          <w:sz w:val="24"/>
          <w:lang w:val="en-US" w:eastAsia="zh-CN"/>
          <w:highlight w:val="none"/>
        </w:rPr>
        <w:t>退</w:t>
      </w:r>
      <w:r>
        <w:rPr>
          <w:rFonts w:ascii="Times New Roman" w:cs="宋体" w:hAnsi="Times New Roman" w:hint="eastAsia"/>
          <w:sz w:val="24"/>
          <w:lang w:val="en-US" w:eastAsia="zh-CN"/>
          <w:highlight w:val="none"/>
        </w:rPr>
        <w:t>、</w:t>
      </w:r>
      <w:r>
        <w:rPr>
          <w:rFonts w:ascii="Times New Roman" w:cs="宋体" w:hAnsi="Times New Roman"/>
          <w:sz w:val="24"/>
          <w:lang w:val="en-US" w:eastAsia="zh-CN"/>
          <w:highlight w:val="none"/>
        </w:rPr>
        <w:t>换</w:t>
      </w:r>
      <w:r>
        <w:rPr>
          <w:rFonts w:ascii="Times New Roman" w:cs="宋体" w:hAnsi="Times New Roman" w:hint="eastAsia"/>
          <w:sz w:val="24"/>
          <w:lang w:val="en-US" w:eastAsia="zh-CN"/>
          <w:highlight w:val="none"/>
        </w:rPr>
        <w:t>，供应商拒不退、换的，采购人可以不支付该部分通知供应商进行退、换货物的费用，同时采购人</w:t>
      </w:r>
      <w:r>
        <w:rPr>
          <w:rFonts w:ascii="Times New Roman" w:cs="宋体" w:hAnsi="Times New Roman"/>
          <w:sz w:val="24"/>
          <w:lang w:val="en-US" w:eastAsia="zh-CN"/>
          <w:highlight w:val="none"/>
        </w:rPr>
        <w:t>可采取必要的补救措施</w:t>
      </w:r>
      <w:r>
        <w:rPr>
          <w:rFonts w:ascii="Times New Roman" w:cs="宋体" w:hAnsi="Times New Roman" w:hint="eastAsia"/>
          <w:sz w:val="24"/>
          <w:lang w:val="en-US" w:eastAsia="zh-CN"/>
          <w:highlight w:val="none"/>
        </w:rPr>
        <w:t>，</w:t>
      </w:r>
      <w:r>
        <w:rPr>
          <w:rFonts w:ascii="Times New Roman" w:cs="宋体" w:hAnsi="Times New Roman"/>
          <w:sz w:val="24"/>
          <w:lang w:val="en-US" w:eastAsia="zh-CN"/>
          <w:highlight w:val="none"/>
        </w:rPr>
        <w:t>但其风险和费用将由</w:t>
      </w:r>
      <w:r>
        <w:rPr>
          <w:rFonts w:ascii="Times New Roman" w:cs="宋体" w:hAnsi="Times New Roman" w:hint="eastAsia"/>
          <w:sz w:val="24"/>
          <w:lang w:val="en-US" w:eastAsia="zh-CN"/>
          <w:highlight w:val="none"/>
        </w:rPr>
        <w:t>供应商</w:t>
      </w:r>
      <w:r>
        <w:rPr>
          <w:rFonts w:ascii="Times New Roman" w:cs="宋体" w:hAnsi="Times New Roman"/>
          <w:sz w:val="24"/>
          <w:lang w:val="en-US" w:eastAsia="zh-CN"/>
          <w:highlight w:val="none"/>
        </w:rPr>
        <w:t>承担</w:t>
      </w:r>
      <w:r>
        <w:rPr>
          <w:rFonts w:ascii="Times New Roman" w:cs="宋体" w:hAnsi="Times New Roman" w:hint="eastAsia"/>
          <w:sz w:val="24"/>
          <w:lang w:val="en-US" w:eastAsia="zh-CN"/>
          <w:highlight w:val="none"/>
        </w:rPr>
        <w:t>，同时采购人可</w:t>
      </w:r>
      <w:r>
        <w:rPr>
          <w:rFonts w:ascii="Times New Roman" w:cs="宋体" w:hAnsi="Times New Roman"/>
          <w:sz w:val="24"/>
          <w:lang w:val="en-US" w:eastAsia="zh-CN"/>
          <w:highlight w:val="none"/>
        </w:rPr>
        <w:t>根据本合同</w:t>
      </w:r>
      <w:r>
        <w:rPr>
          <w:rFonts w:ascii="Times New Roman" w:cs="宋体" w:hAnsi="Times New Roman" w:hint="eastAsia"/>
          <w:sz w:val="24"/>
          <w:lang w:val="en-US" w:eastAsia="zh-CN"/>
          <w:highlight w:val="none"/>
        </w:rPr>
        <w:t>相关违约条款</w:t>
      </w:r>
      <w:r>
        <w:rPr>
          <w:rFonts w:ascii="Times New Roman" w:cs="宋体" w:hAnsi="Times New Roman"/>
          <w:sz w:val="24"/>
          <w:lang w:val="en-US" w:eastAsia="zh-CN"/>
          <w:highlight w:val="none"/>
        </w:rPr>
        <w:t>追究</w:t>
      </w:r>
      <w:r>
        <w:rPr>
          <w:rFonts w:ascii="Times New Roman" w:cs="宋体" w:hAnsi="Times New Roman" w:hint="eastAsia"/>
          <w:sz w:val="24"/>
          <w:lang w:val="en-US" w:eastAsia="zh-CN"/>
          <w:highlight w:val="none"/>
        </w:rPr>
        <w:t>供应商</w:t>
      </w:r>
      <w:r>
        <w:rPr>
          <w:rFonts w:ascii="Times New Roman" w:cs="宋体" w:hAnsi="Times New Roman"/>
          <w:sz w:val="24"/>
          <w:lang w:val="en-US" w:eastAsia="zh-CN"/>
          <w:highlight w:val="none"/>
        </w:rPr>
        <w:t>的违约责任。</w:t>
      </w:r>
    </w:p>
    <w:p>
      <w:pPr>
        <w:pStyle w:val="15"/>
        <w:rPr>
          <w:rFonts w:ascii="Times New Roman" w:eastAsia="宋体" w:cs="宋体" w:hAnsi="Times New Roman" w:hint="eastAsia"/>
          <w:kern w:val="2"/>
          <w:sz w:val="24"/>
          <w:szCs w:val="24"/>
          <w:lang w:val="en-US" w:eastAsia="zh-CN" w:bidi="ar-SA"/>
          <w:highlight w:val="none"/>
        </w:rPr>
      </w:pPr>
      <w:r>
        <w:rPr>
          <w:rFonts w:ascii="Times New Roman" w:cs="宋体" w:hAnsi="Times New Roman" w:hint="eastAsia"/>
          <w:sz w:val="24"/>
          <w:lang w:val="en-US" w:eastAsia="zh-CN"/>
          <w:highlight w:val="none"/>
        </w:rPr>
        <w:t xml:space="preserve">      （五）</w:t>
      </w:r>
      <w:r>
        <w:rPr>
          <w:rFonts w:ascii="Times New Roman" w:eastAsia="宋体" w:cs="宋体" w:hAnsi="Times New Roman" w:hint="eastAsia"/>
          <w:kern w:val="2"/>
          <w:sz w:val="24"/>
          <w:szCs w:val="24"/>
          <w:lang w:val="en-US" w:eastAsia="zh-CN" w:bidi="ar-SA"/>
          <w:highlight w:val="none"/>
        </w:rPr>
        <w:t>配送及验收</w:t>
      </w:r>
    </w:p>
    <w:p>
      <w:pPr>
        <w:numPr>
          <w:ilvl w:val="0"/>
          <w:numId w:val="0"/>
        </w:numPr>
        <w:spacing w:line="360" w:lineRule="auto"/>
        <w:ind w:left="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1.供应商配送耗材应在采购人下达配送计划5个日历日内配送到位，应急用医用耗材须在6小时内或采购人要求的时限内配送；挂网产品必须在采购人下达采购订单3个日历日内在《药品和医用耗材招采管理系统》中响应并完成配送。因特殊耗材、特殊情况配送时间需延长的，供应商应提前向采购人采供科提出书面申请，经采购人采供科同意并备案后按申请的周期配送，但必须保障产品供应，不得影响采购人产品使用。节假日照常配送。</w:t>
      </w:r>
    </w:p>
    <w:p>
      <w:pPr>
        <w:numPr>
          <w:ilvl w:val="0"/>
          <w:numId w:val="0"/>
        </w:numPr>
        <w:spacing w:line="360" w:lineRule="auto"/>
        <w:ind w:left="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2、供应商须在采购周期内按采购人的采购计划供应质量符合要求的产品，并送达采购人医用耗材库房。产品</w:t>
      </w:r>
      <w:r>
        <w:rPr>
          <w:rFonts w:ascii="Times New Roman" w:cs="宋体" w:hAnsi="Times New Roman" w:hint="eastAsia"/>
          <w:sz w:val="24"/>
          <w:lang w:val="en-US"/>
          <w:highlight w:val="none"/>
        </w:rPr>
        <w:t>在交付</w:t>
      </w:r>
      <w:r>
        <w:rPr>
          <w:rFonts w:ascii="Times New Roman" w:cs="宋体" w:hAnsi="Times New Roman" w:hint="eastAsia"/>
          <w:sz w:val="24"/>
          <w:lang w:val="en-US" w:eastAsia="zh-CN"/>
          <w:highlight w:val="none"/>
        </w:rPr>
        <w:t>并经采购人验收合格前</w:t>
      </w:r>
      <w:r>
        <w:rPr>
          <w:rFonts w:ascii="Times New Roman" w:cs="宋体" w:hAnsi="Times New Roman" w:hint="eastAsia"/>
          <w:sz w:val="24"/>
          <w:lang w:val="en-US"/>
          <w:highlight w:val="none"/>
        </w:rPr>
        <w:t>，灭失的风险由</w:t>
      </w:r>
      <w:r>
        <w:rPr>
          <w:rFonts w:ascii="Times New Roman" w:cs="宋体" w:hAnsi="Times New Roman" w:hint="eastAsia"/>
          <w:sz w:val="24"/>
          <w:lang w:val="en-US" w:eastAsia="zh-CN"/>
          <w:highlight w:val="none"/>
        </w:rPr>
        <w:t>供应商</w:t>
      </w:r>
      <w:r>
        <w:rPr>
          <w:rFonts w:ascii="Times New Roman" w:cs="宋体" w:hAnsi="Times New Roman" w:hint="eastAsia"/>
          <w:sz w:val="24"/>
          <w:lang w:val="en-US"/>
          <w:highlight w:val="none"/>
        </w:rPr>
        <w:t>承担。</w:t>
      </w:r>
    </w:p>
    <w:p>
      <w:pPr>
        <w:numPr>
          <w:ilvl w:val="0"/>
          <w:numId w:val="0"/>
        </w:numPr>
        <w:spacing w:line="360" w:lineRule="auto"/>
        <w:ind w:left="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3、采购人对不符合质量、有效期、包装、订单数量和双方约定的其他要求的产品，有权拒绝接收；供应商应对不符合要求的产品在3日内进行更换，且更换后的产品须符合合同约定，不得影响采购人的临床使用。供应商</w:t>
      </w:r>
      <w:r>
        <w:rPr>
          <w:rFonts w:ascii="Times New Roman" w:cs="宋体" w:hAnsi="Times New Roman" w:hint="eastAsia"/>
          <w:sz w:val="24"/>
          <w:lang w:val="en-US"/>
          <w:highlight w:val="none"/>
        </w:rPr>
        <w:t>每次交付</w:t>
      </w:r>
      <w:r>
        <w:rPr>
          <w:rFonts w:ascii="Times New Roman" w:cs="宋体" w:hAnsi="Times New Roman" w:hint="eastAsia"/>
          <w:sz w:val="24"/>
          <w:lang w:val="en-US" w:eastAsia="zh-CN"/>
          <w:highlight w:val="none"/>
        </w:rPr>
        <w:t>产品</w:t>
      </w:r>
      <w:r>
        <w:rPr>
          <w:rFonts w:ascii="Times New Roman" w:cs="宋体" w:hAnsi="Times New Roman" w:hint="eastAsia"/>
          <w:sz w:val="24"/>
          <w:lang w:val="en-US"/>
          <w:highlight w:val="none"/>
        </w:rPr>
        <w:t>时，应提供相应的送货清单，载明产品名称、规格型号、数量、生产批号</w:t>
      </w:r>
      <w:r>
        <w:rPr>
          <w:rFonts w:ascii="Times New Roman" w:cs="宋体" w:hAnsi="Times New Roman" w:hint="eastAsia"/>
          <w:sz w:val="24"/>
          <w:lang w:val="en-US" w:eastAsia="zh-CN"/>
          <w:highlight w:val="none"/>
        </w:rPr>
        <w:t>、有效期</w:t>
      </w:r>
      <w:r>
        <w:rPr>
          <w:rFonts w:ascii="Times New Roman" w:cs="宋体" w:hAnsi="Times New Roman" w:hint="eastAsia"/>
          <w:sz w:val="24"/>
          <w:lang w:val="en-US"/>
          <w:highlight w:val="none"/>
        </w:rPr>
        <w:t>等信息，</w:t>
      </w:r>
      <w:r>
        <w:rPr>
          <w:rFonts w:ascii="Times New Roman" w:cs="宋体" w:hAnsi="Times New Roman" w:hint="eastAsia"/>
          <w:sz w:val="24"/>
          <w:lang w:val="en-US" w:eastAsia="zh-CN"/>
          <w:highlight w:val="none"/>
        </w:rPr>
        <w:t>挂网产品注明商品代码或者商品ID，</w:t>
      </w:r>
      <w:r>
        <w:rPr>
          <w:rFonts w:ascii="Times New Roman" w:cs="宋体" w:hAnsi="Times New Roman" w:hint="eastAsia"/>
          <w:sz w:val="24"/>
          <w:lang w:val="en-US"/>
          <w:highlight w:val="none"/>
        </w:rPr>
        <w:t>以便</w:t>
      </w:r>
      <w:r>
        <w:rPr>
          <w:rFonts w:ascii="Times New Roman" w:cs="宋体" w:hAnsi="Times New Roman" w:hint="eastAsia"/>
          <w:sz w:val="24"/>
          <w:lang w:val="en-US" w:eastAsia="zh-CN"/>
          <w:highlight w:val="none"/>
        </w:rPr>
        <w:t>采购人</w:t>
      </w:r>
      <w:r>
        <w:rPr>
          <w:rFonts w:ascii="Times New Roman" w:cs="宋体" w:hAnsi="Times New Roman" w:hint="eastAsia"/>
          <w:sz w:val="24"/>
          <w:lang w:val="en-US"/>
          <w:highlight w:val="none"/>
        </w:rPr>
        <w:t>核验。</w:t>
      </w:r>
    </w:p>
    <w:p>
      <w:pPr>
        <w:numPr>
          <w:ilvl w:val="0"/>
          <w:numId w:val="0"/>
        </w:numPr>
        <w:spacing w:line="360" w:lineRule="auto"/>
        <w:ind w:left="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4、采购人对送达的产品按相关验收标准进行验收，货到时供应商随货提交送货单，供应商人员随货同行，现场与采购人试剂耗材管理人员约定验收时间，可随货当场验收；如未能现场验收则由采购人试剂耗材管理人员将验收时间、地点告知供应商。验收内容包括产品的名称、规格型号、生产厂家、数量、有效期以及产品质量；验收标准：严格按照《医疗器械经营质量管理规范》《医疗器械使用质量监督管理办法》《医疗机构医用耗材管理办法》《消毒产品卫生安全评价规定》《消毒产品卫生监督工作规范》等行业规定执行。</w:t>
      </w:r>
    </w:p>
    <w:p>
      <w:pPr>
        <w:numPr>
          <w:ilvl w:val="0"/>
          <w:numId w:val="0"/>
        </w:numPr>
        <w:spacing w:line="360" w:lineRule="auto"/>
        <w:ind w:left="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 xml:space="preserve">5、供应商配送医用耗材不得随意更换规格、成分、价格、厂家等信息，如确因不可抗力因素且提供官方证明文件的情形导致配送耗材信息变更的，供应商需至少提前30天以书面文件的形式对变更原因、具体变更明细等进行说明并附相关佐证材料，同时供应商还需保障变更过渡期的采购人医用耗材的正常使用，不得影响采购人业务正常开展。采购人应在收到书面文件后应书面确认是否同意变更。 </w:t>
      </w:r>
    </w:p>
    <w:p>
      <w:pPr>
        <w:numPr>
          <w:ilvl w:val="0"/>
          <w:numId w:val="0"/>
        </w:numPr>
        <w:spacing w:line="360" w:lineRule="auto"/>
        <w:ind w:left="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6、供应商非因不可抗力因素且未提供经采购人认可的证明文件情形，不得拒绝配送。如确因不可抗力因素且提供上述证明文件的情形无法供货的，供应商需至少提前30天以书面文件的形式对无法供货的情况、原因等进行说明并附相关佐证材料，同时供应商还需保障变更过渡期的采购人医用耗材的正常使用，不得影响采购人业务正常开展。</w:t>
      </w:r>
    </w:p>
    <w:p>
      <w:pPr>
        <w:pStyle w:val="15"/>
        <w:rPr>
          <w:lang w:val="en-US" w:eastAsia="zh-CN"/>
        </w:rPr>
      </w:pPr>
      <w:r>
        <w:rPr>
          <w:rFonts w:ascii="Times New Roman" w:cs="宋体" w:hAnsi="Times New Roman" w:hint="eastAsia"/>
          <w:sz w:val="24"/>
          <w:lang w:val="en-US" w:eastAsia="zh-CN"/>
          <w:highlight w:val="none"/>
        </w:rPr>
        <w:t xml:space="preserve">     </w:t>
      </w:r>
      <w:r>
        <w:rPr>
          <w:rFonts w:ascii="Times New Roman" w:eastAsia="宋体" w:cs="宋体" w:hAnsi="Times New Roman" w:hint="eastAsia"/>
          <w:kern w:val="2"/>
          <w:sz w:val="24"/>
          <w:szCs w:val="24"/>
          <w:lang w:val="en-US" w:eastAsia="zh-CN" w:bidi="ar-SA"/>
          <w:highlight w:val="none"/>
        </w:rPr>
        <w:t>（</w:t>
      </w:r>
      <w:r>
        <w:rPr>
          <w:rFonts w:ascii="Times New Roman" w:cs="宋体" w:hAnsi="Times New Roman" w:hint="eastAsia"/>
          <w:kern w:val="2"/>
          <w:sz w:val="24"/>
          <w:szCs w:val="24"/>
          <w:lang w:val="en-US" w:eastAsia="zh-CN" w:bidi="ar-SA"/>
          <w:highlight w:val="none"/>
        </w:rPr>
        <w:t>六</w:t>
      </w:r>
      <w:r>
        <w:rPr>
          <w:rFonts w:ascii="Times New Roman" w:eastAsia="宋体" w:cs="宋体" w:hAnsi="Times New Roman" w:hint="eastAsia"/>
          <w:kern w:val="2"/>
          <w:sz w:val="24"/>
          <w:szCs w:val="24"/>
          <w:lang w:val="en-US" w:eastAsia="zh-CN" w:bidi="ar-SA"/>
          <w:highlight w:val="none"/>
        </w:rPr>
        <w:t>）售后服务</w:t>
      </w:r>
    </w:p>
    <w:p>
      <w:pPr>
        <w:numPr>
          <w:ilvl w:val="0"/>
          <w:numId w:val="0"/>
        </w:numPr>
        <w:spacing w:line="360" w:lineRule="auto"/>
        <w:ind w:left="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1、供应商应按采购人的要求在指定的时间、地点以指定的方式对其供应产品的使用、操作、故障排查等进行技术指导或答疑，确保采购人相关工作人员能正确操作和使用。</w:t>
      </w:r>
    </w:p>
    <w:p>
      <w:pPr>
        <w:numPr>
          <w:ilvl w:val="0"/>
          <w:numId w:val="0"/>
        </w:numPr>
        <w:spacing w:line="360" w:lineRule="auto"/>
        <w:ind w:left="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2、供应商应配合采购人定期或不定期地对供应的产品的数量、库存、效期等情况进行整理核对。对存在的问题供应商应当配合进行问题追踪、原因分析及整改落实，不得隐瞒、谎报、漏报产品配送数量、质量及其他相关问题。</w:t>
      </w:r>
    </w:p>
    <w:p>
      <w:pPr>
        <w:numPr>
          <w:ilvl w:val="0"/>
          <w:numId w:val="0"/>
        </w:numPr>
        <w:spacing w:line="360" w:lineRule="auto"/>
        <w:ind w:left="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3.当采购人提出售后服务需求时，供应商在接到服务需求后2小时内书面或电话响应，并在采购人指定的时间或合同约定的时间内完成故障处理或产品更换，满足采购人临床使用要求。供应商未按时响应或未能解决售后问题，视为违约，采购人有权追究其违约责任。</w:t>
      </w:r>
    </w:p>
    <w:p>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ascii="Times New Roman" w:eastAsia="宋体" w:cs="宋体" w:hAnsi="Times New Roman"/>
          <w:kern w:val="2"/>
          <w:sz w:val="24"/>
          <w:szCs w:val="24"/>
          <w:lang w:val="en-US" w:eastAsia="zh-CN" w:bidi="ar-SA"/>
          <w:highlight w:val="none"/>
        </w:rPr>
      </w:pPr>
      <w:r>
        <w:rPr>
          <w:rFonts w:ascii="Times New Roman" w:cs="宋体" w:hAnsi="Times New Roman" w:hint="eastAsia"/>
          <w:sz w:val="24"/>
          <w:lang w:val="en-US" w:eastAsia="zh-CN"/>
          <w:highlight w:val="none"/>
        </w:rPr>
        <w:t xml:space="preserve">   </w:t>
      </w:r>
      <w:r>
        <w:rPr>
          <w:rFonts w:ascii="Times New Roman" w:eastAsia="宋体" w:cs="宋体" w:hAnsi="Times New Roman" w:hint="eastAsia"/>
          <w:kern w:val="2"/>
          <w:sz w:val="24"/>
          <w:szCs w:val="24"/>
          <w:lang w:val="en-US" w:eastAsia="zh-CN" w:bidi="ar-SA"/>
          <w:highlight w:val="none"/>
        </w:rPr>
        <w:t>（</w:t>
      </w:r>
      <w:r>
        <w:rPr>
          <w:rFonts w:ascii="Times New Roman" w:cs="宋体" w:hAnsi="Times New Roman" w:hint="eastAsia"/>
          <w:kern w:val="2"/>
          <w:sz w:val="24"/>
          <w:szCs w:val="24"/>
          <w:lang w:val="en-US" w:eastAsia="zh-CN" w:bidi="ar-SA"/>
          <w:highlight w:val="none"/>
        </w:rPr>
        <w:t>七</w:t>
      </w:r>
      <w:r>
        <w:rPr>
          <w:rFonts w:ascii="Times New Roman" w:eastAsia="宋体" w:cs="宋体" w:hAnsi="Times New Roman" w:hint="eastAsia"/>
          <w:kern w:val="2"/>
          <w:sz w:val="24"/>
          <w:szCs w:val="24"/>
          <w:lang w:val="en-US" w:eastAsia="zh-CN" w:bidi="ar-SA"/>
          <w:highlight w:val="none"/>
        </w:rPr>
        <w:t>）如遇集中采购、政府或医保带量采购等国家相关政策变化或医院管理变更需要发生调整，医院有权终止合同，并执行最新的政策和要求。</w:t>
      </w:r>
    </w:p>
    <w:p>
      <w:pPr>
        <w:numPr>
          <w:ilvl w:val="0"/>
          <w:numId w:val="0"/>
        </w:numPr>
        <w:spacing w:line="360" w:lineRule="auto"/>
        <w:ind w:left="0" w:firstLineChars="200" w:firstLine="480"/>
        <w:rPr>
          <w:rFonts w:eastAsia="宋体" w:hint="eastAsia"/>
          <w:b/>
          <w:bCs/>
          <w:sz w:val="24"/>
          <w:lang w:val="en-US" w:eastAsia="zh-CN"/>
        </w:rPr>
      </w:pPr>
      <w:r>
        <w:rPr>
          <w:rFonts w:hint="eastAsia"/>
          <w:b/>
          <w:bCs/>
          <w:sz w:val="24"/>
          <w:lang w:val="en-US" w:eastAsia="zh-CN"/>
        </w:rPr>
        <w:t>五</w:t>
      </w:r>
      <w:r>
        <w:rPr>
          <w:rFonts w:eastAsia="宋体" w:hint="eastAsia"/>
          <w:b/>
          <w:bCs/>
          <w:sz w:val="24"/>
          <w:lang w:val="en-US" w:eastAsia="zh-CN"/>
        </w:rPr>
        <w:t>、确定成交供应商</w:t>
      </w:r>
    </w:p>
    <w:p>
      <w:pPr>
        <w:numPr>
          <w:ilvl w:val="0"/>
          <w:numId w:val="0"/>
        </w:numPr>
        <w:spacing w:line="360" w:lineRule="auto"/>
        <w:ind w:left="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1.评审小组对报价人的报价文件进行资格审查及符合审查；</w:t>
      </w:r>
    </w:p>
    <w:p>
      <w:pPr>
        <w:numPr>
          <w:ilvl w:val="0"/>
          <w:numId w:val="0"/>
        </w:numPr>
        <w:spacing w:line="360" w:lineRule="auto"/>
        <w:ind w:left="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2、由评审小组对通过资格审查及符合审查的报价供应商，按照“符合采购需求，质量和服务相等且报价最低的原则”，评审小组按照实际报价从低到高排序，依法确定成交供应商。</w:t>
      </w:r>
    </w:p>
    <w:p>
      <w:pPr>
        <w:numPr>
          <w:ilvl w:val="0"/>
          <w:numId w:val="0"/>
        </w:numPr>
        <w:spacing w:line="360" w:lineRule="auto"/>
        <w:ind w:left="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3.</w:t>
      </w:r>
      <w:bookmarkStart w:id="3" w:name="OLE_LINK6"/>
      <w:r>
        <w:rPr>
          <w:rFonts w:ascii="Times New Roman" w:cs="宋体" w:hAnsi="Times New Roman" w:hint="eastAsia"/>
          <w:sz w:val="24"/>
          <w:lang w:val="en-US" w:eastAsia="zh-CN"/>
          <w:highlight w:val="none"/>
        </w:rPr>
        <w:t>若采购人认为该最低报价仍较高，不属于挂网目录最低价或次低价，采购人可不予以确定成交供应商，并重新组织询价。</w:t>
      </w:r>
    </w:p>
    <w:p>
      <w:pPr>
        <w:numPr>
          <w:ilvl w:val="0"/>
          <w:numId w:val="0"/>
        </w:numPr>
        <w:spacing w:line="360" w:lineRule="auto"/>
        <w:ind w:left="0" w:firstLineChars="200" w:firstLine="480"/>
        <w:jc w:val="left"/>
        <w:rPr>
          <w:rFonts w:ascii="Times New Roman" w:cs="宋体" w:hAnsi="Times New Roman"/>
          <w:sz w:val="24"/>
          <w:lang w:val="en-US" w:eastAsia="zh-CN"/>
          <w:highlight w:val="none"/>
        </w:rPr>
      </w:pPr>
      <w:bookmarkEnd w:id="3"/>
      <w:r>
        <w:rPr>
          <w:rFonts w:ascii="Times New Roman" w:cs="宋体" w:hAnsi="Times New Roman" w:hint="eastAsia"/>
          <w:sz w:val="24"/>
          <w:lang w:val="en-US" w:eastAsia="zh-CN"/>
          <w:highlight w:val="none"/>
        </w:rPr>
        <w:t>4.当报价相同时，首选在院供应商，若都为在院供应商，则以上年度的年度考核情况确定供应商。若年度考核分值相同，则由评审小组在纪委的监督下抽签决定成交供应商。</w:t>
      </w:r>
    </w:p>
    <w:p>
      <w:pPr>
        <w:numPr>
          <w:ilvl w:val="0"/>
          <w:numId w:val="0"/>
        </w:numPr>
        <w:spacing w:line="360" w:lineRule="auto"/>
        <w:ind w:left="0" w:firstLineChars="200" w:firstLine="480"/>
        <w:jc w:val="left"/>
        <w:rPr>
          <w:rFonts w:ascii="Times New Roman" w:cs="宋体" w:hAnsi="Times New Roman" w:hint="eastAsia"/>
          <w:sz w:val="24"/>
          <w:lang w:val="en-US" w:eastAsia="zh-CN"/>
          <w:highlight w:val="none"/>
        </w:rPr>
      </w:pPr>
      <w:r>
        <w:rPr>
          <w:rFonts w:ascii="Times New Roman" w:cs="宋体" w:hAnsi="Times New Roman" w:hint="eastAsia"/>
          <w:sz w:val="24"/>
          <w:lang w:val="en-US" w:eastAsia="zh-CN"/>
          <w:highlight w:val="none"/>
        </w:rPr>
        <w:t>5.当排名第一的供应商不能履约时采购人可以重新组织采购；也可以选择由排名第二的候选供应商作为成交供应商，以此类推，如排名前三名的供应商均不能履约时，本次采购无效，采购人可重新采购；</w:t>
      </w:r>
    </w:p>
    <w:p>
      <w:pPr>
        <w:autoSpaceDE w:val="0"/>
        <w:autoSpaceDN w:val="0"/>
        <w:adjustRightInd w:val="0"/>
        <w:spacing w:line="360" w:lineRule="auto"/>
        <w:ind w:firstLineChars="200" w:firstLine="480"/>
        <w:rPr>
          <w:rFonts w:ascii="宋体" w:cs="宋体" w:hAnsi="宋体"/>
          <w:kern w:val="0"/>
          <w:sz w:val="28"/>
          <w:szCs w:val="28"/>
        </w:rPr>
      </w:pPr>
      <w:r>
        <w:rPr>
          <w:rFonts w:hint="eastAsia"/>
          <w:b/>
          <w:bCs/>
          <w:sz w:val="24"/>
          <w:lang w:val="en-US" w:eastAsia="zh-CN"/>
        </w:rPr>
        <w:t>六</w:t>
      </w:r>
      <w:r>
        <w:rPr>
          <w:rFonts w:hint="eastAsia"/>
          <w:b/>
          <w:bCs/>
          <w:sz w:val="24"/>
        </w:rPr>
        <w:t>、其他事项</w:t>
      </w:r>
    </w:p>
    <w:p>
      <w:pPr>
        <w:autoSpaceDE w:val="0"/>
        <w:autoSpaceDN w:val="0"/>
        <w:adjustRightInd w:val="0"/>
        <w:spacing w:line="360" w:lineRule="auto"/>
        <w:ind w:firstLineChars="200" w:firstLine="480"/>
        <w:rPr>
          <w:sz w:val="24"/>
        </w:rPr>
      </w:pPr>
      <w:r>
        <w:rPr>
          <w:rFonts w:hint="eastAsia"/>
          <w:sz w:val="24"/>
          <w:lang w:eastAsia="zh-CN"/>
        </w:rPr>
        <w:t>1.</w:t>
      </w:r>
      <w:r>
        <w:rPr>
          <w:rFonts w:hint="eastAsia"/>
          <w:sz w:val="24"/>
        </w:rPr>
        <w:t>本次成交供应商将在</w:t>
      </w:r>
      <w:r>
        <w:rPr>
          <w:rFonts w:hint="eastAsia"/>
          <w:sz w:val="24"/>
          <w:lang w:eastAsia="zh-CN"/>
        </w:rPr>
        <w:t>广元市精神卫生中心</w:t>
      </w:r>
      <w:r>
        <w:rPr>
          <w:rFonts w:hint="eastAsia"/>
          <w:sz w:val="24"/>
        </w:rPr>
        <w:t>官网上以公告形式发布。</w:t>
      </w:r>
    </w:p>
    <w:p>
      <w:pPr>
        <w:autoSpaceDE w:val="0"/>
        <w:autoSpaceDN w:val="0"/>
        <w:adjustRightInd w:val="0"/>
        <w:spacing w:line="360" w:lineRule="auto"/>
        <w:ind w:firstLineChars="200" w:firstLine="480"/>
        <w:rPr>
          <w:sz w:val="24"/>
        </w:rPr>
      </w:pPr>
      <w:r>
        <w:rPr>
          <w:rFonts w:hint="eastAsia"/>
          <w:sz w:val="24"/>
        </w:rPr>
        <w:t>2、若确定的成交供应商不能履约或出现虚假应标，则取消</w:t>
      </w:r>
      <w:r>
        <w:rPr>
          <w:rFonts w:hint="eastAsia"/>
          <w:sz w:val="24"/>
          <w:lang w:val="en-US" w:eastAsia="zh-CN"/>
        </w:rPr>
        <w:t>成交</w:t>
      </w:r>
      <w:r>
        <w:rPr>
          <w:rFonts w:hint="eastAsia"/>
          <w:sz w:val="24"/>
        </w:rPr>
        <w:t>资格、终止合同，且限制其三年内不得参与我院的任何</w:t>
      </w:r>
      <w:r>
        <w:rPr>
          <w:rFonts w:hint="eastAsia"/>
          <w:sz w:val="24"/>
          <w:lang w:eastAsia="zh-CN"/>
        </w:rPr>
        <w:t>耗材</w:t>
      </w:r>
      <w:r>
        <w:rPr>
          <w:rFonts w:hint="eastAsia"/>
          <w:sz w:val="24"/>
        </w:rPr>
        <w:t>采购活动。</w:t>
      </w:r>
    </w:p>
    <w:p>
      <w:pPr>
        <w:autoSpaceDE w:val="0"/>
        <w:autoSpaceDN w:val="0"/>
        <w:adjustRightInd w:val="0"/>
        <w:spacing w:line="360" w:lineRule="auto"/>
        <w:ind w:firstLineChars="200" w:firstLine="480"/>
        <w:rPr>
          <w:rFonts w:ascii="宋体" w:hAnsi="宋体"/>
          <w:b/>
          <w:sz w:val="32"/>
          <w:szCs w:val="32"/>
        </w:rPr>
        <w:sectPr>
          <w:footerReference w:type="default" r:id="rId2"/>
          <w:pgSz w:w="11906" w:h="16838"/>
          <w:pgMar w:top="720" w:right="720" w:bottom="720" w:left="720" w:header="851" w:footer="992" w:gutter="0"/>
          <w:cols w:num="1" w:space="0"/>
          <w:rtlGutter/>
          <w:docGrid w:type="lines" w:linePitch="312" w:charSpace="0"/>
        </w:sectPr>
      </w:pPr>
      <w:r>
        <w:rPr>
          <w:rFonts w:hint="eastAsia"/>
          <w:sz w:val="24"/>
          <w:lang w:eastAsia="zh-CN"/>
        </w:rPr>
        <w:t>3.</w:t>
      </w:r>
      <w:r>
        <w:rPr>
          <w:rFonts w:hint="eastAsia"/>
          <w:sz w:val="24"/>
        </w:rPr>
        <w:t>确定成交的品种在合同期内，供应商应确保货源充足，保障供应，不得以任何理由终止配送。</w:t>
      </w:r>
    </w:p>
    <w:p>
      <w:pPr>
        <w:jc w:val="center"/>
        <w:rPr>
          <w:rFonts w:ascii="宋体" w:hAnsi="宋体"/>
          <w:b/>
          <w:sz w:val="32"/>
          <w:szCs w:val="32"/>
        </w:rPr>
      </w:pPr>
      <w:r>
        <w:rPr>
          <w:rFonts w:ascii="宋体" w:hAnsi="宋体" w:hint="eastAsia"/>
          <w:b/>
          <w:sz w:val="32"/>
          <w:szCs w:val="32"/>
          <w:lang w:eastAsia="zh-CN"/>
        </w:rPr>
        <w:t>广元市精神卫生中心耗材报价</w:t>
      </w:r>
      <w:r>
        <w:rPr>
          <w:rFonts w:ascii="宋体" w:hAnsi="宋体" w:hint="eastAsia"/>
          <w:b/>
          <w:sz w:val="32"/>
          <w:szCs w:val="32"/>
        </w:rPr>
        <w:t>一览表</w:t>
      </w:r>
    </w:p>
    <w:tbl>
      <w:tblPr>
        <w:tblpPr w:leftFromText="180" w:rightFromText="180" w:vertAnchor="text" w:horzAnchor="page" w:tblpX="1575" w:tblpY="111"/>
        <w:tblOverlap w:val="never"/>
        <w:tblW w:w="13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785"/>
        <w:gridCol w:w="1437"/>
        <w:gridCol w:w="1425"/>
        <w:gridCol w:w="1100"/>
        <w:gridCol w:w="1000"/>
        <w:gridCol w:w="1000"/>
        <w:gridCol w:w="1038"/>
        <w:gridCol w:w="775"/>
        <w:gridCol w:w="1325"/>
        <w:gridCol w:w="1025"/>
        <w:gridCol w:w="1287"/>
        <w:gridCol w:w="1563"/>
      </w:tblGrid>
      <w:tr>
        <w:trPr>
          <w:trHeight w:val="1219"/>
        </w:trPr>
        <w:tc>
          <w:tcPr>
            <w:tcW w:w="785" w:type="dxa"/>
            <w:vAlign w:val="center"/>
          </w:tcPr>
          <w:p>
            <w:pPr>
              <w:jc w:val="center"/>
              <w:rPr>
                <w:rFonts w:ascii="宋体" w:cs="Times New Roman" w:hAnsi="宋体"/>
                <w:kern w:val="0"/>
                <w:sz w:val="20"/>
                <w:szCs w:val="20"/>
              </w:rPr>
            </w:pPr>
            <w:r>
              <w:rPr>
                <w:rFonts w:ascii="宋体" w:cs="Times New Roman" w:hAnsi="宋体" w:hint="eastAsia"/>
                <w:kern w:val="0"/>
                <w:sz w:val="20"/>
                <w:szCs w:val="20"/>
              </w:rPr>
              <w:t>包号</w:t>
            </w:r>
          </w:p>
        </w:tc>
        <w:tc>
          <w:tcPr>
            <w:tcW w:w="1437" w:type="dxa"/>
            <w:vAlign w:val="center"/>
          </w:tcPr>
          <w:p>
            <w:pPr>
              <w:jc w:val="center"/>
              <w:rPr>
                <w:rFonts w:ascii="宋体" w:cs="Times New Roman" w:hAnsi="宋体" w:hint="eastAsia"/>
                <w:kern w:val="0"/>
                <w:sz w:val="20"/>
                <w:szCs w:val="20"/>
                <w:lang w:eastAsia="zh-CN"/>
              </w:rPr>
            </w:pPr>
            <w:r>
              <w:rPr>
                <w:rFonts w:ascii="宋体" w:cs="Times New Roman" w:hAnsi="宋体" w:hint="eastAsia"/>
                <w:kern w:val="0"/>
                <w:sz w:val="20"/>
                <w:szCs w:val="20"/>
                <w:lang w:eastAsia="zh-CN"/>
              </w:rPr>
              <w:t>产品编码</w:t>
            </w:r>
          </w:p>
          <w:p>
            <w:pPr>
              <w:jc w:val="center"/>
              <w:rPr>
                <w:rFonts w:ascii="宋体" w:cs="Times New Roman" w:hAnsi="宋体"/>
                <w:kern w:val="0"/>
                <w:sz w:val="20"/>
                <w:szCs w:val="20"/>
                <w:lang w:val="en-US" w:eastAsia="zh-CN"/>
              </w:rPr>
            </w:pPr>
            <w:r>
              <w:rPr>
                <w:rFonts w:ascii="宋体" w:cs="Times New Roman" w:hAnsi="宋体" w:hint="eastAsia"/>
                <w:kern w:val="0"/>
                <w:sz w:val="20"/>
                <w:szCs w:val="20"/>
                <w:lang w:eastAsia="zh-CN"/>
              </w:rPr>
              <w:t>产品</w:t>
            </w:r>
            <w:r>
              <w:rPr>
                <w:rFonts w:ascii="宋体" w:cs="Times New Roman" w:hAnsi="宋体" w:hint="eastAsia"/>
                <w:kern w:val="0"/>
                <w:sz w:val="20"/>
                <w:szCs w:val="20"/>
                <w:lang w:val="en-US" w:eastAsia="zh-CN"/>
              </w:rPr>
              <w:t>ID</w:t>
            </w:r>
          </w:p>
        </w:tc>
        <w:tc>
          <w:tcPr>
            <w:tcW w:w="1425" w:type="dxa"/>
            <w:vAlign w:val="center"/>
          </w:tcPr>
          <w:p>
            <w:pPr>
              <w:jc w:val="center"/>
              <w:rPr>
                <w:rFonts w:ascii="宋体" w:cs="Times New Roman" w:hAnsi="宋体"/>
                <w:kern w:val="0"/>
                <w:sz w:val="20"/>
                <w:szCs w:val="20"/>
              </w:rPr>
            </w:pPr>
            <w:r>
              <w:rPr>
                <w:rFonts w:ascii="宋体" w:cs="Times New Roman" w:hAnsi="宋体" w:hint="eastAsia"/>
                <w:kern w:val="0"/>
                <w:sz w:val="20"/>
                <w:szCs w:val="20"/>
                <w:lang w:eastAsia="zh-CN"/>
              </w:rPr>
              <w:t>耗材</w:t>
            </w:r>
            <w:r>
              <w:rPr>
                <w:rFonts w:ascii="宋体" w:cs="Times New Roman" w:hAnsi="宋体" w:hint="eastAsia"/>
                <w:kern w:val="0"/>
                <w:sz w:val="20"/>
                <w:szCs w:val="20"/>
              </w:rPr>
              <w:t>通用名称</w:t>
            </w:r>
          </w:p>
        </w:tc>
        <w:tc>
          <w:tcPr>
            <w:tcW w:w="1100" w:type="dxa"/>
            <w:vAlign w:val="center"/>
          </w:tcPr>
          <w:p>
            <w:pPr>
              <w:jc w:val="center"/>
              <w:rPr>
                <w:rFonts w:ascii="宋体" w:cs="Times New Roman" w:hAnsi="宋体"/>
                <w:kern w:val="0"/>
                <w:sz w:val="20"/>
                <w:szCs w:val="20"/>
              </w:rPr>
            </w:pPr>
            <w:r>
              <w:rPr>
                <w:rFonts w:ascii="宋体" w:cs="Times New Roman" w:hAnsi="宋体" w:hint="eastAsia"/>
                <w:kern w:val="0"/>
                <w:sz w:val="20"/>
                <w:szCs w:val="20"/>
              </w:rPr>
              <w:t>规格</w:t>
            </w:r>
          </w:p>
        </w:tc>
        <w:tc>
          <w:tcPr>
            <w:tcW w:w="1000" w:type="dxa"/>
            <w:vAlign w:val="center"/>
          </w:tcPr>
          <w:p>
            <w:pPr>
              <w:jc w:val="center"/>
              <w:rPr>
                <w:rFonts w:ascii="宋体" w:cs="Times New Roman" w:hAnsi="宋体"/>
                <w:kern w:val="0"/>
                <w:sz w:val="20"/>
                <w:szCs w:val="20"/>
              </w:rPr>
            </w:pPr>
            <w:r>
              <w:rPr>
                <w:rFonts w:ascii="宋体" w:cs="Times New Roman" w:hAnsi="宋体" w:hint="eastAsia"/>
                <w:kern w:val="0"/>
                <w:sz w:val="20"/>
                <w:szCs w:val="20"/>
              </w:rPr>
              <w:t>生产企业</w:t>
            </w:r>
          </w:p>
        </w:tc>
        <w:tc>
          <w:tcPr>
            <w:tcW w:w="1000" w:type="dxa"/>
            <w:vAlign w:val="center"/>
          </w:tcPr>
          <w:p>
            <w:pPr>
              <w:jc w:val="center"/>
              <w:rPr>
                <w:rFonts w:ascii="宋体" w:eastAsia="宋体" w:cs="Times New Roman" w:hAnsi="宋体"/>
                <w:kern w:val="0"/>
                <w:sz w:val="20"/>
                <w:szCs w:val="20"/>
                <w:lang w:val="en-US" w:eastAsia="zh-CN"/>
              </w:rPr>
            </w:pPr>
            <w:r>
              <w:rPr>
                <w:rFonts w:ascii="宋体" w:cs="Times New Roman" w:hAnsi="宋体" w:hint="eastAsia"/>
                <w:kern w:val="0"/>
                <w:sz w:val="20"/>
                <w:szCs w:val="20"/>
                <w:lang w:val="en-US" w:eastAsia="zh-CN"/>
              </w:rPr>
              <w:t>产品注册证号</w:t>
            </w:r>
          </w:p>
        </w:tc>
        <w:tc>
          <w:tcPr>
            <w:tcW w:w="1038" w:type="dxa"/>
            <w:vAlign w:val="center"/>
          </w:tcPr>
          <w:p>
            <w:pPr>
              <w:jc w:val="center"/>
              <w:rPr>
                <w:rFonts w:ascii="宋体" w:eastAsia="宋体" w:cs="Times New Roman" w:hAnsi="宋体"/>
                <w:kern w:val="0"/>
                <w:sz w:val="20"/>
                <w:szCs w:val="20"/>
                <w:lang w:val="en-US" w:eastAsia="zh-CN"/>
              </w:rPr>
            </w:pPr>
            <w:r>
              <w:rPr>
                <w:rFonts w:ascii="宋体" w:cs="Times New Roman" w:hAnsi="宋体" w:hint="eastAsia"/>
                <w:kern w:val="0"/>
                <w:sz w:val="20"/>
                <w:szCs w:val="20"/>
                <w:lang w:val="en-US" w:eastAsia="zh-CN"/>
              </w:rPr>
              <w:t>供应商名称</w:t>
            </w:r>
          </w:p>
        </w:tc>
        <w:tc>
          <w:tcPr>
            <w:tcW w:w="775" w:type="dxa"/>
            <w:vAlign w:val="center"/>
          </w:tcPr>
          <w:p>
            <w:pPr>
              <w:jc w:val="center"/>
              <w:rPr>
                <w:rFonts w:ascii="宋体" w:cs="Times New Roman" w:hAnsi="宋体" w:hint="eastAsia"/>
                <w:kern w:val="0"/>
                <w:sz w:val="20"/>
                <w:szCs w:val="20"/>
                <w:lang w:val="en-US" w:eastAsia="zh-CN"/>
              </w:rPr>
            </w:pPr>
            <w:r>
              <w:rPr>
                <w:rFonts w:ascii="宋体" w:cs="Times New Roman" w:hAnsi="宋体" w:hint="eastAsia"/>
                <w:kern w:val="0"/>
                <w:sz w:val="20"/>
                <w:szCs w:val="20"/>
                <w:lang w:val="en-US" w:eastAsia="zh-CN"/>
              </w:rPr>
              <w:t>单位</w:t>
            </w:r>
          </w:p>
        </w:tc>
        <w:tc>
          <w:tcPr>
            <w:tcW w:w="1325" w:type="dxa"/>
            <w:vAlign w:val="center"/>
          </w:tcPr>
          <w:p>
            <w:pPr>
              <w:jc w:val="center"/>
              <w:rPr>
                <w:rFonts w:ascii="宋体" w:cs="Times New Roman" w:hAnsi="宋体"/>
                <w:kern w:val="0"/>
                <w:sz w:val="20"/>
                <w:szCs w:val="20"/>
              </w:rPr>
            </w:pPr>
            <w:bookmarkStart w:id="4" w:name="OLE_LINK2"/>
            <w:r>
              <w:rPr>
                <w:rFonts w:ascii="宋体" w:cs="Times New Roman" w:hAnsi="宋体" w:hint="eastAsia"/>
                <w:kern w:val="0"/>
                <w:sz w:val="20"/>
                <w:szCs w:val="20"/>
                <w:lang w:val="en-US" w:eastAsia="zh-CN"/>
              </w:rPr>
              <w:t>省最高参考价</w:t>
            </w:r>
            <w:bookmarkEnd w:id="4"/>
          </w:p>
        </w:tc>
        <w:tc>
          <w:tcPr>
            <w:tcW w:w="1025" w:type="dxa"/>
            <w:vAlign w:val="center"/>
          </w:tcPr>
          <w:p>
            <w:pPr>
              <w:jc w:val="center"/>
              <w:rPr>
                <w:rFonts w:ascii="宋体" w:cs="Times New Roman" w:hAnsi="宋体" w:hint="eastAsia"/>
                <w:kern w:val="0"/>
                <w:sz w:val="20"/>
                <w:szCs w:val="20"/>
              </w:rPr>
            </w:pPr>
            <w:bookmarkStart w:id="5" w:name="OLE_LINK3"/>
            <w:r>
              <w:rPr>
                <w:rFonts w:ascii="宋体" w:cs="Times New Roman" w:hAnsi="宋体" w:hint="eastAsia"/>
                <w:kern w:val="0"/>
                <w:sz w:val="20"/>
                <w:szCs w:val="20"/>
                <w:lang w:val="en-US" w:eastAsia="zh-CN"/>
              </w:rPr>
              <w:t>联动参考价</w:t>
            </w:r>
            <w:bookmarkEnd w:id="5"/>
          </w:p>
        </w:tc>
        <w:tc>
          <w:tcPr>
            <w:tcW w:w="1287" w:type="dxa"/>
            <w:vAlign w:val="center"/>
          </w:tcPr>
          <w:p>
            <w:pPr>
              <w:jc w:val="center"/>
              <w:rPr>
                <w:rFonts w:ascii="宋体" w:cs="Times New Roman" w:hAnsi="宋体" w:hint="eastAsia"/>
                <w:kern w:val="0"/>
                <w:sz w:val="20"/>
                <w:szCs w:val="20"/>
              </w:rPr>
            </w:pPr>
            <w:bookmarkStart w:id="6" w:name="OLE_LINK4"/>
            <w:r>
              <w:rPr>
                <w:rFonts w:ascii="宋体" w:cs="Times New Roman" w:hAnsi="宋体" w:hint="eastAsia"/>
                <w:kern w:val="0"/>
                <w:sz w:val="20"/>
                <w:szCs w:val="20"/>
                <w:lang w:val="en-US" w:eastAsia="zh-CN"/>
              </w:rPr>
              <w:t>截止上月末加权平均价</w:t>
            </w:r>
            <w:bookmarkEnd w:id="6"/>
          </w:p>
        </w:tc>
        <w:tc>
          <w:tcPr>
            <w:tcW w:w="1563" w:type="dxa"/>
            <w:vAlign w:val="center"/>
          </w:tcPr>
          <w:p>
            <w:pPr>
              <w:jc w:val="center"/>
              <w:rPr>
                <w:rFonts w:ascii="宋体" w:cs="Times New Roman" w:hAnsi="宋体"/>
                <w:kern w:val="0"/>
                <w:sz w:val="20"/>
                <w:szCs w:val="20"/>
              </w:rPr>
            </w:pPr>
            <w:r>
              <w:rPr>
                <w:rFonts w:ascii="宋体" w:cs="Times New Roman" w:hAnsi="宋体" w:hint="eastAsia"/>
                <w:kern w:val="0"/>
                <w:sz w:val="20"/>
                <w:szCs w:val="20"/>
                <w:lang w:eastAsia="zh-CN"/>
              </w:rPr>
              <w:t>报价</w:t>
            </w:r>
            <w:r>
              <w:rPr>
                <w:rFonts w:ascii="宋体" w:cs="Times New Roman" w:hAnsi="宋体" w:hint="eastAsia"/>
                <w:kern w:val="0"/>
                <w:sz w:val="20"/>
                <w:szCs w:val="20"/>
              </w:rPr>
              <w:t>（元）</w:t>
            </w:r>
          </w:p>
          <w:p>
            <w:pPr>
              <w:jc w:val="center"/>
              <w:rPr>
                <w:rFonts w:ascii="宋体" w:cs="Times New Roman" w:hAnsi="宋体"/>
                <w:kern w:val="0"/>
                <w:sz w:val="20"/>
                <w:szCs w:val="20"/>
              </w:rPr>
            </w:pPr>
            <w:r>
              <w:rPr>
                <w:rFonts w:ascii="宋体" w:cs="Times New Roman" w:hAnsi="宋体" w:hint="eastAsia"/>
                <w:kern w:val="0"/>
                <w:sz w:val="20"/>
                <w:szCs w:val="20"/>
              </w:rPr>
              <w:t>（按单位）</w:t>
            </w:r>
          </w:p>
        </w:tc>
      </w:tr>
      <w:tr>
        <w:trPr>
          <w:trHeight w:val="2468"/>
        </w:trPr>
        <w:tc>
          <w:tcPr>
            <w:tcW w:w="785" w:type="dxa"/>
            <w:vAlign w:val="center"/>
          </w:tcPr>
          <w:p>
            <w:pPr>
              <w:jc w:val="center"/>
              <w:rPr>
                <w:rFonts w:ascii="宋体" w:cs="Times New Roman" w:hAnsi="宋体"/>
                <w:kern w:val="0"/>
                <w:sz w:val="20"/>
                <w:szCs w:val="20"/>
              </w:rPr>
            </w:pPr>
          </w:p>
        </w:tc>
        <w:tc>
          <w:tcPr>
            <w:tcW w:w="1437" w:type="dxa"/>
            <w:vAlign w:val="center"/>
          </w:tcPr>
          <w:p>
            <w:pPr>
              <w:jc w:val="center"/>
              <w:rPr>
                <w:rFonts w:ascii="宋体" w:eastAsia="宋体" w:cs="Times New Roman" w:hAnsi="宋体"/>
                <w:kern w:val="0"/>
                <w:sz w:val="20"/>
                <w:szCs w:val="20"/>
                <w:lang w:val="en-US" w:eastAsia="zh-CN"/>
              </w:rPr>
            </w:pPr>
            <w:r>
              <w:rPr>
                <w:rFonts w:ascii="宋体" w:cs="Times New Roman" w:hAnsi="宋体" w:hint="eastAsia"/>
                <w:kern w:val="0"/>
                <w:sz w:val="20"/>
                <w:szCs w:val="20"/>
                <w:lang w:eastAsia="zh-CN"/>
              </w:rPr>
              <w:t>产品编码和</w:t>
            </w:r>
            <w:r>
              <w:rPr>
                <w:rFonts w:ascii="宋体" w:cs="Times New Roman" w:hAnsi="宋体" w:hint="eastAsia"/>
                <w:kern w:val="0"/>
                <w:sz w:val="20"/>
                <w:szCs w:val="20"/>
                <w:lang w:val="en-US" w:eastAsia="zh-CN"/>
              </w:rPr>
              <w:t>ID都写上</w:t>
            </w:r>
          </w:p>
        </w:tc>
        <w:tc>
          <w:tcPr>
            <w:tcW w:w="1425" w:type="dxa"/>
            <w:vAlign w:val="center"/>
          </w:tcPr>
          <w:p>
            <w:pPr>
              <w:jc w:val="center"/>
              <w:rPr>
                <w:rFonts w:ascii="宋体" w:cs="Times New Roman" w:hAnsi="宋体"/>
                <w:kern w:val="0"/>
                <w:sz w:val="20"/>
                <w:szCs w:val="20"/>
              </w:rPr>
            </w:pPr>
            <w:r>
              <w:rPr>
                <w:rFonts w:ascii="宋体" w:cs="Times New Roman" w:hAnsi="宋体" w:hint="eastAsia"/>
                <w:kern w:val="0"/>
                <w:sz w:val="20"/>
                <w:szCs w:val="20"/>
              </w:rPr>
              <w:t>通用名称要与阳光采购挂网目录一致</w:t>
            </w:r>
          </w:p>
        </w:tc>
        <w:tc>
          <w:tcPr>
            <w:tcW w:w="1100" w:type="dxa"/>
            <w:vAlign w:val="center"/>
          </w:tcPr>
          <w:p>
            <w:pPr>
              <w:jc w:val="center"/>
              <w:rPr>
                <w:rFonts w:ascii="宋体" w:cs="Times New Roman" w:hAnsi="宋体"/>
                <w:kern w:val="0"/>
                <w:sz w:val="20"/>
                <w:szCs w:val="20"/>
              </w:rPr>
            </w:pPr>
            <w:r>
              <w:rPr>
                <w:rFonts w:ascii="宋体" w:cs="Times New Roman" w:hAnsi="宋体" w:hint="eastAsia"/>
                <w:kern w:val="0"/>
                <w:sz w:val="20"/>
                <w:szCs w:val="20"/>
              </w:rPr>
              <w:t>必须与注册证一致</w:t>
            </w:r>
          </w:p>
        </w:tc>
        <w:tc>
          <w:tcPr>
            <w:tcW w:w="1000" w:type="dxa"/>
            <w:vAlign w:val="center"/>
          </w:tcPr>
          <w:p>
            <w:pPr>
              <w:jc w:val="center"/>
              <w:rPr>
                <w:rFonts w:ascii="宋体" w:eastAsia="宋体" w:cs="Times New Roman" w:hAnsi="宋体" w:hint="eastAsia"/>
                <w:kern w:val="0"/>
                <w:sz w:val="20"/>
                <w:szCs w:val="20"/>
                <w:lang w:val="en-US" w:eastAsia="zh-CN"/>
              </w:rPr>
            </w:pPr>
            <w:r>
              <w:rPr>
                <w:rFonts w:ascii="宋体" w:cs="Times New Roman" w:hAnsi="宋体" w:hint="eastAsia"/>
                <w:kern w:val="0"/>
                <w:sz w:val="20"/>
                <w:szCs w:val="20"/>
              </w:rPr>
              <w:t>生产企业</w:t>
            </w:r>
            <w:r>
              <w:rPr>
                <w:rFonts w:ascii="宋体" w:cs="Times New Roman" w:hAnsi="宋体" w:hint="eastAsia"/>
                <w:kern w:val="0"/>
                <w:sz w:val="20"/>
                <w:szCs w:val="20"/>
                <w:lang w:val="en-US" w:eastAsia="zh-CN"/>
              </w:rPr>
              <w:t>名称</w:t>
            </w:r>
          </w:p>
        </w:tc>
        <w:tc>
          <w:tcPr>
            <w:tcW w:w="1000" w:type="dxa"/>
            <w:vAlign w:val="center"/>
          </w:tcPr>
          <w:p>
            <w:pPr>
              <w:jc w:val="center"/>
              <w:rPr>
                <w:rFonts w:ascii="宋体" w:cs="Times New Roman" w:hAnsi="宋体"/>
                <w:kern w:val="0"/>
                <w:sz w:val="20"/>
                <w:szCs w:val="20"/>
              </w:rPr>
            </w:pPr>
          </w:p>
        </w:tc>
        <w:tc>
          <w:tcPr>
            <w:tcW w:w="1038" w:type="dxa"/>
            <w:vAlign w:val="center"/>
          </w:tcPr>
          <w:p>
            <w:pPr>
              <w:jc w:val="center"/>
              <w:rPr>
                <w:rFonts w:ascii="宋体" w:cs="Times New Roman" w:hAnsi="宋体"/>
                <w:kern w:val="0"/>
                <w:sz w:val="20"/>
                <w:szCs w:val="20"/>
              </w:rPr>
            </w:pPr>
          </w:p>
        </w:tc>
        <w:tc>
          <w:tcPr>
            <w:tcW w:w="775" w:type="dxa"/>
            <w:vAlign w:val="center"/>
          </w:tcPr>
          <w:p>
            <w:pPr>
              <w:jc w:val="center"/>
              <w:rPr>
                <w:rFonts w:ascii="宋体" w:cs="Times New Roman" w:hAnsi="宋体" w:hint="eastAsia"/>
                <w:kern w:val="0"/>
                <w:sz w:val="20"/>
                <w:szCs w:val="20"/>
              </w:rPr>
            </w:pPr>
          </w:p>
        </w:tc>
        <w:tc>
          <w:tcPr>
            <w:tcW w:w="1325" w:type="dxa"/>
            <w:vAlign w:val="center"/>
          </w:tcPr>
          <w:p>
            <w:pPr>
              <w:jc w:val="center"/>
              <w:rPr>
                <w:rFonts w:ascii="宋体" w:cs="Times New Roman" w:hAnsi="宋体"/>
                <w:kern w:val="0"/>
                <w:sz w:val="20"/>
                <w:szCs w:val="20"/>
              </w:rPr>
            </w:pPr>
            <w:r>
              <w:rPr>
                <w:rFonts w:ascii="宋体" w:cs="Times New Roman" w:hAnsi="宋体" w:hint="eastAsia"/>
                <w:kern w:val="0"/>
                <w:sz w:val="20"/>
                <w:szCs w:val="20"/>
                <w:lang w:eastAsia="zh-CN"/>
              </w:rPr>
              <w:t>药品和医用耗材招采管理系统</w:t>
            </w:r>
          </w:p>
        </w:tc>
        <w:tc>
          <w:tcPr>
            <w:tcW w:w="1025" w:type="dxa"/>
            <w:vAlign w:val="center"/>
          </w:tcPr>
          <w:p>
            <w:pPr>
              <w:jc w:val="center"/>
              <w:rPr>
                <w:rFonts w:ascii="宋体" w:cs="Times New Roman" w:hAnsi="宋体" w:hint="eastAsia"/>
                <w:kern w:val="0"/>
                <w:sz w:val="20"/>
                <w:szCs w:val="20"/>
              </w:rPr>
            </w:pPr>
            <w:r>
              <w:rPr>
                <w:rFonts w:ascii="宋体" w:cs="Times New Roman" w:hAnsi="宋体" w:hint="eastAsia"/>
                <w:kern w:val="0"/>
                <w:sz w:val="20"/>
                <w:szCs w:val="20"/>
                <w:lang w:eastAsia="zh-CN"/>
              </w:rPr>
              <w:t>药品和医用耗材招采管理系统</w:t>
            </w:r>
          </w:p>
        </w:tc>
        <w:tc>
          <w:tcPr>
            <w:tcW w:w="1287" w:type="dxa"/>
            <w:vAlign w:val="center"/>
          </w:tcPr>
          <w:p>
            <w:pPr>
              <w:jc w:val="center"/>
              <w:rPr>
                <w:rFonts w:ascii="宋体" w:cs="Times New Roman" w:hAnsi="宋体" w:hint="eastAsia"/>
                <w:kern w:val="0"/>
                <w:sz w:val="20"/>
                <w:szCs w:val="20"/>
              </w:rPr>
            </w:pPr>
            <w:r>
              <w:rPr>
                <w:rFonts w:ascii="宋体" w:cs="Times New Roman" w:hAnsi="宋体" w:hint="eastAsia"/>
                <w:kern w:val="0"/>
                <w:sz w:val="20"/>
                <w:szCs w:val="20"/>
                <w:lang w:eastAsia="zh-CN"/>
              </w:rPr>
              <w:t>药品和医用耗材招采管理系统</w:t>
            </w:r>
          </w:p>
        </w:tc>
        <w:tc>
          <w:tcPr>
            <w:tcW w:w="1563" w:type="dxa"/>
            <w:vAlign w:val="center"/>
          </w:tcPr>
          <w:p>
            <w:pPr>
              <w:jc w:val="center"/>
              <w:rPr>
                <w:rFonts w:ascii="宋体" w:eastAsia="宋体" w:cs="Times New Roman" w:hAnsi="宋体" w:hint="eastAsia"/>
                <w:kern w:val="0"/>
                <w:sz w:val="20"/>
                <w:szCs w:val="20"/>
                <w:lang w:eastAsia="zh-CN"/>
              </w:rPr>
            </w:pPr>
            <w:r>
              <w:rPr>
                <w:rFonts w:ascii="宋体" w:cs="Times New Roman" w:hAnsi="宋体" w:hint="eastAsia"/>
                <w:kern w:val="0"/>
                <w:sz w:val="20"/>
                <w:szCs w:val="20"/>
              </w:rPr>
              <w:t>供应商自</w:t>
            </w:r>
            <w:r>
              <w:rPr>
                <w:rFonts w:ascii="宋体" w:cs="Times New Roman" w:hAnsi="宋体" w:hint="eastAsia"/>
                <w:kern w:val="0"/>
                <w:sz w:val="20"/>
                <w:szCs w:val="20"/>
                <w:lang w:eastAsia="zh-CN"/>
              </w:rPr>
              <w:t>报价</w:t>
            </w:r>
          </w:p>
        </w:tc>
      </w:tr>
      <w:tr>
        <w:trPr>
          <w:trHeight w:val="454"/>
        </w:trPr>
        <w:tc>
          <w:tcPr>
            <w:tcW w:w="785" w:type="dxa"/>
            <w:vAlign w:val="center"/>
          </w:tcPr>
          <w:p>
            <w:pPr>
              <w:jc w:val="center"/>
              <w:rPr>
                <w:rFonts w:ascii="宋体" w:cs="Times New Roman" w:hAnsi="宋体"/>
                <w:kern w:val="0"/>
                <w:sz w:val="20"/>
                <w:szCs w:val="20"/>
              </w:rPr>
            </w:pPr>
          </w:p>
        </w:tc>
        <w:tc>
          <w:tcPr>
            <w:tcW w:w="1437" w:type="dxa"/>
            <w:vAlign w:val="center"/>
          </w:tcPr>
          <w:p>
            <w:pPr>
              <w:jc w:val="center"/>
              <w:rPr>
                <w:rFonts w:ascii="宋体" w:cs="Times New Roman" w:hAnsi="宋体"/>
                <w:kern w:val="0"/>
                <w:sz w:val="20"/>
                <w:szCs w:val="20"/>
              </w:rPr>
            </w:pPr>
          </w:p>
        </w:tc>
        <w:tc>
          <w:tcPr>
            <w:tcW w:w="1425" w:type="dxa"/>
            <w:vAlign w:val="center"/>
          </w:tcPr>
          <w:p>
            <w:pPr>
              <w:jc w:val="center"/>
              <w:rPr>
                <w:rFonts w:ascii="宋体" w:cs="Times New Roman" w:hAnsi="宋体"/>
                <w:kern w:val="0"/>
                <w:sz w:val="20"/>
                <w:szCs w:val="20"/>
              </w:rPr>
            </w:pPr>
          </w:p>
        </w:tc>
        <w:tc>
          <w:tcPr>
            <w:tcW w:w="1100" w:type="dxa"/>
            <w:vAlign w:val="center"/>
          </w:tcPr>
          <w:p>
            <w:pPr>
              <w:jc w:val="center"/>
              <w:rPr>
                <w:rFonts w:ascii="宋体" w:cs="Times New Roman" w:hAnsi="宋体"/>
                <w:kern w:val="0"/>
                <w:sz w:val="20"/>
                <w:szCs w:val="20"/>
              </w:rPr>
            </w:pPr>
          </w:p>
        </w:tc>
        <w:tc>
          <w:tcPr>
            <w:tcW w:w="1000" w:type="dxa"/>
            <w:vAlign w:val="center"/>
          </w:tcPr>
          <w:p>
            <w:pPr>
              <w:jc w:val="center"/>
              <w:rPr>
                <w:rFonts w:ascii="宋体" w:cs="Times New Roman" w:hAnsi="宋体"/>
                <w:kern w:val="0"/>
                <w:sz w:val="20"/>
                <w:szCs w:val="20"/>
              </w:rPr>
            </w:pPr>
          </w:p>
        </w:tc>
        <w:tc>
          <w:tcPr>
            <w:tcW w:w="1000" w:type="dxa"/>
            <w:vAlign w:val="center"/>
          </w:tcPr>
          <w:p>
            <w:pPr>
              <w:jc w:val="center"/>
              <w:rPr>
                <w:rFonts w:ascii="宋体" w:cs="Times New Roman" w:hAnsi="宋体"/>
                <w:kern w:val="0"/>
                <w:sz w:val="20"/>
                <w:szCs w:val="20"/>
              </w:rPr>
            </w:pPr>
          </w:p>
        </w:tc>
        <w:tc>
          <w:tcPr>
            <w:tcW w:w="1038" w:type="dxa"/>
            <w:vAlign w:val="center"/>
          </w:tcPr>
          <w:p>
            <w:pPr>
              <w:jc w:val="center"/>
              <w:rPr>
                <w:rFonts w:ascii="宋体" w:cs="Times New Roman" w:hAnsi="宋体"/>
                <w:kern w:val="0"/>
                <w:sz w:val="20"/>
                <w:szCs w:val="20"/>
              </w:rPr>
            </w:pPr>
          </w:p>
        </w:tc>
        <w:tc>
          <w:tcPr>
            <w:tcW w:w="775" w:type="dxa"/>
          </w:tcPr>
          <w:p>
            <w:pPr>
              <w:adjustRightInd w:val="0"/>
              <w:snapToGrid w:val="0"/>
              <w:spacing w:line="440" w:lineRule="exact"/>
              <w:ind w:right="71"/>
              <w:jc w:val="center"/>
              <w:rPr>
                <w:rFonts w:ascii="宋体" w:cs="Times New Roman" w:hAnsi="宋体"/>
                <w:bCs/>
                <w:snapToGrid w:val="0"/>
                <w:color w:val="000000"/>
                <w:kern w:val="0"/>
                <w:sz w:val="20"/>
                <w:szCs w:val="20"/>
              </w:rPr>
            </w:pPr>
          </w:p>
        </w:tc>
        <w:tc>
          <w:tcPr>
            <w:tcW w:w="1325" w:type="dxa"/>
          </w:tcPr>
          <w:p>
            <w:pPr>
              <w:adjustRightInd w:val="0"/>
              <w:snapToGrid w:val="0"/>
              <w:spacing w:line="440" w:lineRule="exact"/>
              <w:ind w:right="71"/>
              <w:jc w:val="center"/>
              <w:rPr>
                <w:rFonts w:ascii="宋体" w:cs="Times New Roman" w:hAnsi="宋体"/>
                <w:bCs/>
                <w:snapToGrid w:val="0"/>
                <w:color w:val="000000"/>
                <w:kern w:val="0"/>
                <w:sz w:val="20"/>
                <w:szCs w:val="20"/>
              </w:rPr>
            </w:pPr>
          </w:p>
        </w:tc>
        <w:tc>
          <w:tcPr>
            <w:tcW w:w="1025" w:type="dxa"/>
            <w:vAlign w:val="center"/>
          </w:tcPr>
          <w:p>
            <w:pPr>
              <w:jc w:val="center"/>
              <w:rPr>
                <w:rFonts w:ascii="宋体" w:cs="Times New Roman" w:hAnsi="宋体"/>
                <w:bCs/>
                <w:snapToGrid w:val="0"/>
                <w:color w:val="000000"/>
                <w:kern w:val="0"/>
                <w:sz w:val="20"/>
                <w:szCs w:val="20"/>
              </w:rPr>
            </w:pPr>
          </w:p>
        </w:tc>
        <w:tc>
          <w:tcPr>
            <w:tcW w:w="1287" w:type="dxa"/>
            <w:vAlign w:val="center"/>
          </w:tcPr>
          <w:p>
            <w:pPr>
              <w:jc w:val="center"/>
              <w:rPr>
                <w:rFonts w:ascii="宋体" w:cs="Times New Roman" w:hAnsi="宋体"/>
                <w:bCs/>
                <w:snapToGrid w:val="0"/>
                <w:color w:val="000000"/>
                <w:kern w:val="0"/>
                <w:sz w:val="20"/>
                <w:szCs w:val="20"/>
              </w:rPr>
            </w:pPr>
          </w:p>
        </w:tc>
        <w:tc>
          <w:tcPr>
            <w:tcW w:w="1563" w:type="dxa"/>
          </w:tcPr>
          <w:p>
            <w:pPr>
              <w:adjustRightInd w:val="0"/>
              <w:snapToGrid w:val="0"/>
              <w:spacing w:line="440" w:lineRule="exact"/>
              <w:ind w:right="71"/>
              <w:jc w:val="center"/>
              <w:rPr>
                <w:rFonts w:ascii="宋体" w:cs="Times New Roman" w:hAnsi="宋体"/>
                <w:bCs/>
                <w:snapToGrid w:val="0"/>
                <w:color w:val="000000"/>
                <w:kern w:val="0"/>
                <w:sz w:val="20"/>
                <w:szCs w:val="20"/>
              </w:rPr>
            </w:pPr>
          </w:p>
        </w:tc>
      </w:tr>
      <w:tr>
        <w:trPr>
          <w:trHeight w:val="454"/>
        </w:trPr>
        <w:tc>
          <w:tcPr>
            <w:tcW w:w="785" w:type="dxa"/>
            <w:vAlign w:val="center"/>
          </w:tcPr>
          <w:p>
            <w:pPr>
              <w:jc w:val="center"/>
              <w:rPr>
                <w:rFonts w:ascii="宋体" w:cs="Times New Roman" w:hAnsi="宋体"/>
                <w:color w:val="FF0000"/>
                <w:kern w:val="0"/>
                <w:sz w:val="20"/>
                <w:szCs w:val="20"/>
              </w:rPr>
            </w:pPr>
          </w:p>
        </w:tc>
        <w:tc>
          <w:tcPr>
            <w:tcW w:w="1437" w:type="dxa"/>
            <w:vAlign w:val="center"/>
          </w:tcPr>
          <w:p>
            <w:pPr>
              <w:jc w:val="center"/>
              <w:rPr>
                <w:rFonts w:ascii="宋体" w:cs="Times New Roman" w:hAnsi="宋体"/>
                <w:color w:val="FF0000"/>
                <w:kern w:val="0"/>
                <w:sz w:val="20"/>
                <w:szCs w:val="20"/>
              </w:rPr>
            </w:pPr>
          </w:p>
        </w:tc>
        <w:tc>
          <w:tcPr>
            <w:tcW w:w="1425" w:type="dxa"/>
            <w:vAlign w:val="center"/>
          </w:tcPr>
          <w:p>
            <w:pPr>
              <w:jc w:val="center"/>
              <w:rPr>
                <w:rFonts w:ascii="宋体" w:cs="Times New Roman" w:hAnsi="宋体"/>
                <w:color w:val="FF0000"/>
                <w:kern w:val="0"/>
                <w:sz w:val="20"/>
                <w:szCs w:val="20"/>
              </w:rPr>
            </w:pPr>
          </w:p>
        </w:tc>
        <w:tc>
          <w:tcPr>
            <w:tcW w:w="1100" w:type="dxa"/>
            <w:vAlign w:val="center"/>
          </w:tcPr>
          <w:p>
            <w:pPr>
              <w:jc w:val="center"/>
              <w:rPr>
                <w:rFonts w:ascii="宋体" w:cs="Times New Roman" w:hAnsi="宋体"/>
                <w:color w:val="FF0000"/>
                <w:kern w:val="0"/>
                <w:sz w:val="20"/>
                <w:szCs w:val="20"/>
              </w:rPr>
            </w:pPr>
          </w:p>
        </w:tc>
        <w:tc>
          <w:tcPr>
            <w:tcW w:w="1000" w:type="dxa"/>
            <w:vAlign w:val="center"/>
          </w:tcPr>
          <w:p>
            <w:pPr>
              <w:jc w:val="center"/>
              <w:rPr>
                <w:rFonts w:ascii="宋体" w:cs="Times New Roman" w:hAnsi="宋体"/>
                <w:color w:val="FF0000"/>
                <w:kern w:val="0"/>
                <w:sz w:val="20"/>
                <w:szCs w:val="20"/>
              </w:rPr>
            </w:pPr>
          </w:p>
        </w:tc>
        <w:tc>
          <w:tcPr>
            <w:tcW w:w="1000" w:type="dxa"/>
            <w:vAlign w:val="center"/>
          </w:tcPr>
          <w:p>
            <w:pPr>
              <w:jc w:val="center"/>
              <w:rPr>
                <w:rFonts w:ascii="宋体" w:cs="Times New Roman" w:hAnsi="宋体"/>
                <w:color w:val="FF0000"/>
                <w:kern w:val="0"/>
                <w:sz w:val="20"/>
                <w:szCs w:val="20"/>
              </w:rPr>
            </w:pPr>
          </w:p>
        </w:tc>
        <w:tc>
          <w:tcPr>
            <w:tcW w:w="1038" w:type="dxa"/>
            <w:vAlign w:val="center"/>
          </w:tcPr>
          <w:p>
            <w:pPr>
              <w:jc w:val="center"/>
              <w:rPr>
                <w:rFonts w:ascii="宋体" w:cs="Times New Roman" w:hAnsi="宋体"/>
                <w:color w:val="FF0000"/>
                <w:kern w:val="0"/>
                <w:sz w:val="20"/>
                <w:szCs w:val="20"/>
              </w:rPr>
            </w:pPr>
          </w:p>
        </w:tc>
        <w:tc>
          <w:tcPr>
            <w:tcW w:w="775" w:type="dxa"/>
          </w:tcPr>
          <w:p>
            <w:pPr>
              <w:adjustRightInd w:val="0"/>
              <w:snapToGrid w:val="0"/>
              <w:spacing w:line="440" w:lineRule="exact"/>
              <w:ind w:right="71"/>
              <w:jc w:val="center"/>
              <w:rPr>
                <w:rFonts w:ascii="宋体" w:cs="Times New Roman" w:hAnsi="宋体"/>
                <w:bCs/>
                <w:snapToGrid w:val="0"/>
                <w:color w:val="000000"/>
                <w:kern w:val="0"/>
                <w:sz w:val="20"/>
                <w:szCs w:val="20"/>
              </w:rPr>
            </w:pPr>
          </w:p>
        </w:tc>
        <w:tc>
          <w:tcPr>
            <w:tcW w:w="1325" w:type="dxa"/>
          </w:tcPr>
          <w:p>
            <w:pPr>
              <w:adjustRightInd w:val="0"/>
              <w:snapToGrid w:val="0"/>
              <w:spacing w:line="440" w:lineRule="exact"/>
              <w:ind w:right="71"/>
              <w:jc w:val="center"/>
              <w:rPr>
                <w:rFonts w:ascii="宋体" w:cs="Times New Roman" w:hAnsi="宋体"/>
                <w:bCs/>
                <w:snapToGrid w:val="0"/>
                <w:color w:val="000000"/>
                <w:kern w:val="0"/>
                <w:sz w:val="20"/>
                <w:szCs w:val="20"/>
              </w:rPr>
            </w:pPr>
          </w:p>
        </w:tc>
        <w:tc>
          <w:tcPr>
            <w:tcW w:w="1025" w:type="dxa"/>
            <w:vAlign w:val="center"/>
          </w:tcPr>
          <w:p>
            <w:pPr>
              <w:jc w:val="center"/>
              <w:rPr>
                <w:rFonts w:ascii="宋体" w:cs="Times New Roman" w:hAnsi="宋体"/>
                <w:bCs/>
                <w:snapToGrid w:val="0"/>
                <w:color w:val="000000"/>
                <w:kern w:val="0"/>
                <w:sz w:val="20"/>
                <w:szCs w:val="20"/>
              </w:rPr>
            </w:pPr>
          </w:p>
        </w:tc>
        <w:tc>
          <w:tcPr>
            <w:tcW w:w="1287" w:type="dxa"/>
            <w:vAlign w:val="center"/>
          </w:tcPr>
          <w:p>
            <w:pPr>
              <w:jc w:val="center"/>
              <w:rPr>
                <w:rFonts w:ascii="宋体" w:cs="Times New Roman" w:hAnsi="宋体"/>
                <w:bCs/>
                <w:snapToGrid w:val="0"/>
                <w:color w:val="000000"/>
                <w:kern w:val="0"/>
                <w:sz w:val="20"/>
                <w:szCs w:val="20"/>
              </w:rPr>
            </w:pPr>
          </w:p>
        </w:tc>
        <w:tc>
          <w:tcPr>
            <w:tcW w:w="1563" w:type="dxa"/>
          </w:tcPr>
          <w:p>
            <w:pPr>
              <w:adjustRightInd w:val="0"/>
              <w:snapToGrid w:val="0"/>
              <w:spacing w:line="440" w:lineRule="exact"/>
              <w:ind w:right="71"/>
              <w:jc w:val="center"/>
              <w:rPr>
                <w:rFonts w:ascii="宋体" w:cs="Times New Roman" w:hAnsi="宋体"/>
                <w:bCs/>
                <w:snapToGrid w:val="0"/>
                <w:color w:val="000000"/>
                <w:kern w:val="0"/>
                <w:sz w:val="20"/>
                <w:szCs w:val="20"/>
              </w:rPr>
            </w:pPr>
          </w:p>
        </w:tc>
      </w:tr>
      <w:tr>
        <w:trPr>
          <w:trHeight w:val="493"/>
        </w:trPr>
        <w:tc>
          <w:tcPr>
            <w:tcW w:w="785" w:type="dxa"/>
            <w:vAlign w:val="center"/>
          </w:tcPr>
          <w:p>
            <w:pPr>
              <w:jc w:val="center"/>
              <w:rPr>
                <w:rFonts w:ascii="宋体" w:cs="Times New Roman" w:hAnsi="宋体"/>
                <w:color w:val="FF0000"/>
                <w:kern w:val="0"/>
                <w:sz w:val="20"/>
                <w:szCs w:val="20"/>
              </w:rPr>
            </w:pPr>
          </w:p>
        </w:tc>
        <w:tc>
          <w:tcPr>
            <w:tcW w:w="1437" w:type="dxa"/>
            <w:vAlign w:val="center"/>
          </w:tcPr>
          <w:p>
            <w:pPr>
              <w:jc w:val="center"/>
              <w:rPr>
                <w:rFonts w:ascii="宋体" w:cs="Times New Roman" w:hAnsi="宋体"/>
                <w:color w:val="FF0000"/>
                <w:kern w:val="0"/>
                <w:sz w:val="20"/>
                <w:szCs w:val="20"/>
              </w:rPr>
            </w:pPr>
          </w:p>
        </w:tc>
        <w:tc>
          <w:tcPr>
            <w:tcW w:w="1425" w:type="dxa"/>
            <w:vAlign w:val="center"/>
          </w:tcPr>
          <w:p>
            <w:pPr>
              <w:jc w:val="center"/>
              <w:rPr>
                <w:rFonts w:ascii="宋体" w:cs="Times New Roman" w:hAnsi="宋体"/>
                <w:color w:val="FF0000"/>
                <w:kern w:val="0"/>
                <w:sz w:val="20"/>
                <w:szCs w:val="20"/>
              </w:rPr>
            </w:pPr>
          </w:p>
        </w:tc>
        <w:tc>
          <w:tcPr>
            <w:tcW w:w="1100" w:type="dxa"/>
            <w:vAlign w:val="center"/>
          </w:tcPr>
          <w:p>
            <w:pPr>
              <w:jc w:val="center"/>
              <w:rPr>
                <w:rFonts w:ascii="宋体" w:cs="Times New Roman" w:hAnsi="宋体"/>
                <w:color w:val="FF0000"/>
                <w:kern w:val="0"/>
                <w:sz w:val="20"/>
                <w:szCs w:val="20"/>
              </w:rPr>
            </w:pPr>
          </w:p>
        </w:tc>
        <w:tc>
          <w:tcPr>
            <w:tcW w:w="1000" w:type="dxa"/>
            <w:vAlign w:val="center"/>
          </w:tcPr>
          <w:p>
            <w:pPr>
              <w:jc w:val="center"/>
              <w:rPr>
                <w:rFonts w:ascii="宋体" w:cs="Times New Roman" w:hAnsi="宋体"/>
                <w:color w:val="FF0000"/>
                <w:kern w:val="0"/>
                <w:sz w:val="20"/>
                <w:szCs w:val="20"/>
              </w:rPr>
            </w:pPr>
          </w:p>
        </w:tc>
        <w:tc>
          <w:tcPr>
            <w:tcW w:w="1000" w:type="dxa"/>
            <w:vAlign w:val="center"/>
          </w:tcPr>
          <w:p>
            <w:pPr>
              <w:jc w:val="center"/>
              <w:rPr>
                <w:rFonts w:ascii="宋体" w:cs="Times New Roman" w:hAnsi="宋体"/>
                <w:color w:val="FF0000"/>
                <w:kern w:val="0"/>
                <w:sz w:val="20"/>
                <w:szCs w:val="20"/>
              </w:rPr>
            </w:pPr>
          </w:p>
        </w:tc>
        <w:tc>
          <w:tcPr>
            <w:tcW w:w="1038" w:type="dxa"/>
            <w:vAlign w:val="center"/>
          </w:tcPr>
          <w:p>
            <w:pPr>
              <w:jc w:val="center"/>
              <w:rPr>
                <w:rFonts w:ascii="宋体" w:cs="Times New Roman" w:hAnsi="宋体"/>
                <w:color w:val="FF0000"/>
                <w:kern w:val="0"/>
                <w:sz w:val="20"/>
                <w:szCs w:val="20"/>
              </w:rPr>
            </w:pPr>
          </w:p>
        </w:tc>
        <w:tc>
          <w:tcPr>
            <w:tcW w:w="775" w:type="dxa"/>
          </w:tcPr>
          <w:p>
            <w:pPr>
              <w:adjustRightInd w:val="0"/>
              <w:snapToGrid w:val="0"/>
              <w:spacing w:line="440" w:lineRule="exact"/>
              <w:ind w:right="71"/>
              <w:jc w:val="center"/>
              <w:rPr>
                <w:rFonts w:ascii="宋体" w:cs="Times New Roman" w:hAnsi="宋体"/>
                <w:bCs/>
                <w:snapToGrid w:val="0"/>
                <w:color w:val="000000"/>
                <w:kern w:val="0"/>
                <w:sz w:val="20"/>
                <w:szCs w:val="20"/>
              </w:rPr>
            </w:pPr>
          </w:p>
        </w:tc>
        <w:tc>
          <w:tcPr>
            <w:tcW w:w="1325" w:type="dxa"/>
          </w:tcPr>
          <w:p>
            <w:pPr>
              <w:adjustRightInd w:val="0"/>
              <w:snapToGrid w:val="0"/>
              <w:spacing w:line="440" w:lineRule="exact"/>
              <w:ind w:right="71"/>
              <w:jc w:val="center"/>
              <w:rPr>
                <w:rFonts w:ascii="宋体" w:cs="Times New Roman" w:hAnsi="宋体"/>
                <w:bCs/>
                <w:snapToGrid w:val="0"/>
                <w:color w:val="000000"/>
                <w:kern w:val="0"/>
                <w:sz w:val="20"/>
                <w:szCs w:val="20"/>
              </w:rPr>
            </w:pPr>
          </w:p>
        </w:tc>
        <w:tc>
          <w:tcPr>
            <w:tcW w:w="1025" w:type="dxa"/>
            <w:vAlign w:val="center"/>
          </w:tcPr>
          <w:p>
            <w:pPr>
              <w:jc w:val="center"/>
              <w:rPr>
                <w:rFonts w:ascii="宋体" w:cs="Times New Roman" w:hAnsi="宋体"/>
                <w:bCs/>
                <w:snapToGrid w:val="0"/>
                <w:color w:val="000000"/>
                <w:kern w:val="0"/>
                <w:sz w:val="20"/>
                <w:szCs w:val="20"/>
              </w:rPr>
            </w:pPr>
          </w:p>
        </w:tc>
        <w:tc>
          <w:tcPr>
            <w:tcW w:w="1287" w:type="dxa"/>
            <w:vAlign w:val="center"/>
          </w:tcPr>
          <w:p>
            <w:pPr>
              <w:jc w:val="center"/>
              <w:rPr>
                <w:rFonts w:ascii="宋体" w:cs="Times New Roman" w:hAnsi="宋体"/>
                <w:bCs/>
                <w:snapToGrid w:val="0"/>
                <w:color w:val="000000"/>
                <w:kern w:val="0"/>
                <w:sz w:val="20"/>
                <w:szCs w:val="20"/>
              </w:rPr>
            </w:pPr>
          </w:p>
        </w:tc>
        <w:tc>
          <w:tcPr>
            <w:tcW w:w="1563" w:type="dxa"/>
          </w:tcPr>
          <w:p>
            <w:pPr>
              <w:adjustRightInd w:val="0"/>
              <w:snapToGrid w:val="0"/>
              <w:spacing w:line="440" w:lineRule="exact"/>
              <w:ind w:right="71"/>
              <w:jc w:val="center"/>
              <w:rPr>
                <w:rFonts w:ascii="宋体" w:cs="Times New Roman" w:hAnsi="宋体"/>
                <w:bCs/>
                <w:snapToGrid w:val="0"/>
                <w:color w:val="000000"/>
                <w:kern w:val="0"/>
                <w:sz w:val="20"/>
                <w:szCs w:val="20"/>
              </w:rPr>
            </w:pPr>
          </w:p>
        </w:tc>
      </w:tr>
    </w:tbl>
    <w:p>
      <w:pPr>
        <w:adjustRightInd w:val="0"/>
        <w:snapToGrid w:val="0"/>
        <w:spacing w:line="360" w:lineRule="exact"/>
        <w:ind w:right="71"/>
        <w:rPr>
          <w:kern w:val="0"/>
          <w:sz w:val="18"/>
          <w:szCs w:val="18"/>
        </w:rPr>
      </w:pPr>
      <w:r>
        <w:rPr>
          <w:rFonts w:hint="eastAsia"/>
          <w:sz w:val="24"/>
          <w:lang w:eastAsia="zh-CN"/>
        </w:rPr>
        <w:t>报价</w:t>
      </w:r>
      <w:r>
        <w:rPr>
          <w:rFonts w:hint="eastAsia"/>
          <w:sz w:val="24"/>
        </w:rPr>
        <w:t xml:space="preserve">供应商：                      </w:t>
      </w:r>
      <w:r>
        <w:rPr>
          <w:rFonts w:hint="eastAsia"/>
          <w:sz w:val="24"/>
          <w:lang w:val="en-US" w:eastAsia="zh-CN"/>
        </w:rPr>
        <w:t xml:space="preserve"> </w:t>
      </w:r>
      <w:r>
        <w:rPr>
          <w:rFonts w:hint="eastAsia"/>
          <w:sz w:val="24"/>
          <w:lang w:eastAsia="zh-CN"/>
        </w:rPr>
        <w:t>报价</w:t>
      </w:r>
      <w:r>
        <w:rPr>
          <w:rFonts w:hint="eastAsia"/>
          <w:sz w:val="24"/>
        </w:rPr>
        <w:t>人：                  联系电话：                   日期：</w:t>
      </w:r>
    </w:p>
    <w:p>
      <w:pPr>
        <w:spacing w:line="220" w:lineRule="exact"/>
        <w:rPr>
          <w:rFonts w:hint="eastAsia"/>
          <w:kern w:val="0"/>
          <w:sz w:val="18"/>
          <w:szCs w:val="18"/>
        </w:rPr>
      </w:pPr>
    </w:p>
    <w:p>
      <w:pPr>
        <w:spacing w:line="220" w:lineRule="exact"/>
        <w:rPr>
          <w:kern w:val="0"/>
          <w:sz w:val="18"/>
          <w:szCs w:val="18"/>
        </w:rPr>
      </w:pPr>
      <w:r>
        <w:rPr>
          <w:rFonts w:hint="eastAsia"/>
          <w:kern w:val="0"/>
          <w:sz w:val="18"/>
          <w:szCs w:val="18"/>
        </w:rPr>
        <w:t>说明：</w:t>
      </w:r>
    </w:p>
    <w:p>
      <w:pPr>
        <w:spacing w:line="220" w:lineRule="exact"/>
        <w:ind w:firstLineChars="200" w:firstLine="360"/>
        <w:rPr>
          <w:sz w:val="18"/>
          <w:szCs w:val="18"/>
        </w:rPr>
      </w:pPr>
      <w:r>
        <w:rPr>
          <w:rFonts w:hint="eastAsia"/>
          <w:sz w:val="18"/>
          <w:szCs w:val="18"/>
          <w:lang w:eastAsia="zh-CN"/>
        </w:rPr>
        <w:t>1.</w:t>
      </w:r>
      <w:r>
        <w:rPr>
          <w:rFonts w:hint="eastAsia"/>
          <w:sz w:val="18"/>
          <w:szCs w:val="18"/>
        </w:rPr>
        <w:t>表格第二行为说明，</w:t>
      </w:r>
      <w:r>
        <w:rPr>
          <w:rFonts w:hint="eastAsia"/>
          <w:sz w:val="18"/>
          <w:szCs w:val="18"/>
          <w:lang w:eastAsia="zh-CN"/>
        </w:rPr>
        <w:t>报价</w:t>
      </w:r>
      <w:r>
        <w:rPr>
          <w:rFonts w:hint="eastAsia"/>
          <w:sz w:val="18"/>
          <w:szCs w:val="18"/>
        </w:rPr>
        <w:t>人在填写时删除即可。</w:t>
      </w:r>
    </w:p>
    <w:p>
      <w:pPr>
        <w:ind w:firstLineChars="200" w:firstLine="360"/>
        <w:rPr>
          <w:sz w:val="18"/>
          <w:szCs w:val="18"/>
        </w:rPr>
      </w:pPr>
      <w:r>
        <w:rPr>
          <w:rFonts w:hint="eastAsia"/>
          <w:sz w:val="18"/>
          <w:szCs w:val="18"/>
        </w:rPr>
        <w:t>2、“包号”请填写本采购文件中《项目清单》的包号，请注意对应关系。</w:t>
      </w:r>
    </w:p>
    <w:p>
      <w:pPr>
        <w:ind w:firstLineChars="200" w:firstLine="360"/>
        <w:rPr>
          <w:sz w:val="18"/>
          <w:szCs w:val="18"/>
        </w:rPr>
      </w:pPr>
      <w:r>
        <w:rPr>
          <w:rFonts w:hint="eastAsia"/>
          <w:sz w:val="18"/>
          <w:szCs w:val="18"/>
          <w:lang w:eastAsia="zh-CN"/>
        </w:rPr>
        <w:t>3.</w:t>
      </w:r>
      <w:r>
        <w:rPr>
          <w:rFonts w:hint="eastAsia"/>
          <w:sz w:val="18"/>
          <w:szCs w:val="18"/>
        </w:rPr>
        <w:t>所报</w:t>
      </w:r>
      <w:r>
        <w:rPr>
          <w:rFonts w:hint="eastAsia"/>
          <w:sz w:val="18"/>
          <w:szCs w:val="18"/>
          <w:lang w:eastAsia="zh-CN"/>
        </w:rPr>
        <w:t>耗材</w:t>
      </w:r>
      <w:r>
        <w:rPr>
          <w:rFonts w:hint="eastAsia"/>
          <w:sz w:val="18"/>
          <w:szCs w:val="18"/>
        </w:rPr>
        <w:t>的挂网信息、必须真实准确，否则将作为无效</w:t>
      </w:r>
      <w:r>
        <w:rPr>
          <w:rFonts w:hint="eastAsia"/>
          <w:sz w:val="18"/>
          <w:szCs w:val="18"/>
          <w:lang w:eastAsia="zh-CN"/>
        </w:rPr>
        <w:t>报价</w:t>
      </w:r>
      <w:r>
        <w:rPr>
          <w:rFonts w:hint="eastAsia"/>
          <w:sz w:val="18"/>
          <w:szCs w:val="18"/>
        </w:rPr>
        <w:t>处理。</w:t>
      </w:r>
    </w:p>
    <w:p>
      <w:pPr>
        <w:ind w:firstLineChars="200" w:firstLine="360"/>
        <w:rPr>
          <w:rFonts w:hint="eastAsia"/>
          <w:sz w:val="18"/>
          <w:szCs w:val="18"/>
        </w:rPr>
      </w:pPr>
      <w:r>
        <w:rPr>
          <w:rFonts w:hint="eastAsia"/>
          <w:sz w:val="18"/>
          <w:szCs w:val="18"/>
          <w:lang w:eastAsia="zh-CN"/>
        </w:rPr>
        <w:t>4.报价</w:t>
      </w:r>
      <w:r>
        <w:rPr>
          <w:rFonts w:hint="eastAsia"/>
          <w:sz w:val="18"/>
          <w:szCs w:val="18"/>
        </w:rPr>
        <w:t>人的</w:t>
      </w:r>
      <w:r>
        <w:rPr>
          <w:rFonts w:hint="eastAsia"/>
          <w:sz w:val="18"/>
          <w:szCs w:val="18"/>
          <w:lang w:eastAsia="zh-CN"/>
        </w:rPr>
        <w:t>报价</w:t>
      </w:r>
      <w:r>
        <w:rPr>
          <w:rFonts w:hint="eastAsia"/>
          <w:sz w:val="18"/>
          <w:szCs w:val="18"/>
        </w:rPr>
        <w:t>是该响应项目要求的全部工作内容的价格体现，</w:t>
      </w:r>
      <w:r>
        <w:rPr>
          <w:rFonts w:hint="eastAsia"/>
          <w:sz w:val="18"/>
          <w:szCs w:val="18"/>
          <w:lang w:eastAsia="zh-CN"/>
        </w:rPr>
        <w:t>耗材</w:t>
      </w:r>
      <w:r>
        <w:rPr>
          <w:rFonts w:hint="eastAsia"/>
          <w:sz w:val="18"/>
          <w:szCs w:val="18"/>
        </w:rPr>
        <w:t>配送、验收、质量保证等一切费用，包括但不限于</w:t>
      </w:r>
      <w:r>
        <w:rPr>
          <w:rFonts w:hint="eastAsia"/>
          <w:sz w:val="18"/>
          <w:szCs w:val="18"/>
          <w:lang w:eastAsia="zh-CN"/>
        </w:rPr>
        <w:t>报价</w:t>
      </w:r>
      <w:r>
        <w:rPr>
          <w:rFonts w:hint="eastAsia"/>
          <w:sz w:val="18"/>
          <w:szCs w:val="18"/>
        </w:rPr>
        <w:t>人完成本项目所需的费用价格。</w:t>
      </w:r>
    </w:p>
    <w:p>
      <w:pPr>
        <w:ind w:firstLineChars="200" w:firstLine="360"/>
        <w:rPr>
          <w:sz w:val="18"/>
          <w:szCs w:val="18"/>
        </w:rPr>
      </w:pPr>
      <w:r>
        <w:rPr>
          <w:rFonts w:hint="eastAsia"/>
          <w:sz w:val="18"/>
          <w:szCs w:val="18"/>
          <w:lang w:eastAsia="zh-CN"/>
        </w:rPr>
        <w:t>5.</w:t>
      </w:r>
      <w:r>
        <w:rPr>
          <w:rFonts w:hint="eastAsia"/>
          <w:sz w:val="18"/>
          <w:szCs w:val="18"/>
        </w:rPr>
        <w:t>“</w:t>
      </w:r>
      <w:r>
        <w:rPr>
          <w:rFonts w:hint="eastAsia"/>
          <w:sz w:val="18"/>
          <w:szCs w:val="18"/>
          <w:lang w:eastAsia="zh-CN"/>
        </w:rPr>
        <w:t>报价</w:t>
      </w:r>
      <w:r>
        <w:rPr>
          <w:rFonts w:hint="eastAsia"/>
          <w:sz w:val="18"/>
          <w:szCs w:val="18"/>
        </w:rPr>
        <w:t>一览表”为多页的</w:t>
      </w:r>
      <w:r>
        <w:rPr>
          <w:rFonts w:hint="eastAsia"/>
          <w:kern w:val="0"/>
          <w:sz w:val="18"/>
          <w:szCs w:val="18"/>
        </w:rPr>
        <w:t>，每页均需由法定代表人或授权代表签字</w:t>
      </w:r>
      <w:r>
        <w:rPr>
          <w:rFonts w:hint="eastAsia"/>
          <w:kern w:val="0"/>
          <w:sz w:val="18"/>
          <w:szCs w:val="18"/>
          <w:lang w:eastAsia="zh-CN"/>
        </w:rPr>
        <w:t>并加</w:t>
      </w:r>
      <w:r>
        <w:rPr>
          <w:rFonts w:hint="eastAsia"/>
          <w:kern w:val="0"/>
          <w:sz w:val="18"/>
          <w:szCs w:val="18"/>
        </w:rPr>
        <w:t>盖投标人印章。</w:t>
      </w:r>
    </w:p>
    <w:sectPr>
      <w:pgSz w:w="16838" w:h="11906" w:orient="landscape"/>
      <w:pgMar w:top="1758" w:right="1440" w:bottom="1758" w:left="1440" w:header="851" w:footer="992" w:gutter="0"/>
      <w:cols w:num="1" w:space="72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Calibri">
    <w:panose1 w:val="020F0502020204030204"/>
    <w:charset w:val="00"/>
    <w:family w:val="swiss"/>
    <w:pitch w:val="variable"/>
    <w:sig w:usb0="E4002EFF" w:usb1="C000247B" w:usb2="00000009" w:usb3="00000000" w:csb0="200001FF" w:csb1="00000000"/>
  </w:font>
  <w:font w:name="Arial">
    <w:panose1 w:val="020B0604020202020204"/>
    <w:charset w:val="00"/>
    <w:family w:val="auto"/>
    <w:pitch w:val="variable"/>
    <w:sig w:usb0="00007A87" w:usb1="80000000" w:usb2="00000008" w:usb3="00000000" w:csb0="400001FF" w:csb1="FFFF0000"/>
  </w:font>
  <w:font w:name="Times New Roman">
    <w:panose1 w:val="02020603050405020304"/>
    <w:charset w:val="86"/>
    <w:family w:val="auto"/>
    <w:pitch w:val="variable"/>
    <w:sig w:usb0="E0002EFF" w:usb1="C000785B" w:usb2="00000009" w:usb3="00000000" w:csb0="400001FF" w:csb1="FFFF0000"/>
  </w:font>
  <w:font w:name="黑体">
    <w:panose1 w:val="02010609060101010101"/>
    <w:charset w:val="86"/>
    <w:family w:val="auto"/>
    <w:pitch w:val="variable"/>
    <w:sig w:usb0="800002BF" w:usb1="38CF7CFA" w:usb2="00000016" w:usb3="00000000" w:csb0="00040001" w:csb1="00000000"/>
  </w:font>
  <w:font w:name="微软雅黑">
    <w:panose1 w:val="020B0503020204020204"/>
    <w:charset w:val="86"/>
    <w:family w:val="auto"/>
    <w:pitch w:val="variable"/>
    <w:sig w:usb0="80000287" w:usb1="2ACF3C50" w:usb2="00000016" w:usb3="00000000" w:csb0="0004001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17"/>
      <w:tabs>
        <w:tab w:val="center" w:pos="4153"/>
        <w:tab w:val="right" w:pos="8306"/>
      </w:tabs>
      <w:jc w:val="center"/>
    </w:pPr>
    <w:r>
      <w:fldChar w:fldCharType="begin"/>
    </w:r>
    <w:r>
      <w:instrText xml:space="preserve"> PAGE   \* MERGEFORMAT </w:instrText>
    </w:r>
    <w:r>
      <w:fldChar w:fldCharType="separate"/>
    </w:r>
    <w:r>
      <w:rPr>
        <w:lang w:val="zh-CN"/>
      </w:rPr>
      <w:t>1</w:t>
    </w:r>
    <w:r>
      <w:rPr>
        <w:lang w:val="zh-CN"/>
      </w:rPr>
      <w:fldChar w:fldCharType="end"/>
    </w:r>
  </w:p>
  <w:p>
    <w:pPr>
      <w:pStyle w:val="17"/>
      <w:tabs>
        <w:tab w:val="center" w:pos="4153"/>
        <w:tab w:val="right" w:pos="8306"/>
      </w:tabs>
      <w:jc w:val="center"/>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43A6427"/>
    <w:multiLevelType w:val="singleLevel"/>
    <w:tmpl w:val="143A6427"/>
    <w:lvl w:ilvl="0">
      <w:start w:val="1"/>
      <w:numFmt w:val="chineseCounting"/>
      <w:lvlRestart w:val="0"/>
      <w:suff w:val="nothing"/>
      <w:lvlText w:val="%1、"/>
      <w:lvlJc w:val="left"/>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2"/>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ZTEyM2Y1MTdlZTJmNDRjZTAwMWMyYTNjYTcyNmMxZjQifQ=="/>
    <w:docVar w:name="KSO_WPS_MARK_KEY" w:val="84e2b520-591b-45ec-bf9e-1417479cc96b"/>
  </w:docVars>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next w:val="15"/>
    <w:pPr>
      <w:widowControl w:val="0"/>
      <w:jc w:val="both"/>
    </w:pPr>
    <w:rPr>
      <w:rFonts w:ascii="Calibri" w:eastAsia="宋体" w:cs="黑体" w:hAnsi="Calibri"/>
      <w:kern w:val="2"/>
      <w:sz w:val="21"/>
      <w:szCs w:val="24"/>
      <w:lang w:val="en-US" w:eastAsia="zh-CN" w:bidi="ar-SA"/>
    </w:rPr>
  </w:style>
  <w:style w:type="paragraph" w:styleId="1">
    <w:name w:val="heading 1"/>
    <w:qFormat/>
    <w:basedOn w:val="0"/>
    <w:next w:val="0"/>
    <w:link w:val="1Char"/>
    <w:pPr>
      <w:keepNext/>
      <w:keepLines/>
      <w:spacing w:before="340" w:after="330" w:line="578" w:lineRule="auto"/>
      <w:outlineLvl w:val="0"/>
    </w:pPr>
    <w:rPr>
      <w:b/>
      <w:bCs/>
      <w:kern w:val="44"/>
      <w:sz w:val="44"/>
      <w:szCs w:val="44"/>
    </w:rPr>
  </w:style>
  <w:style w:type="character" w:customStyle="1" w:styleId="1Char">
    <w:name w:val="heading 1 Char"/>
    <w:basedOn w:val="10"/>
    <w:link w:val="1"/>
    <w:rPr>
      <w:rFonts w:ascii="Calibri" w:eastAsia="宋体" w:cs="黑体" w:hAnsi="Calibri"/>
      <w:b/>
      <w:bCs/>
      <w:kern w:val="44"/>
      <w:sz w:val="44"/>
      <w:szCs w:val="44"/>
      <w:lang w:val="en-US" w:eastAsia="zh-CN" w:bidi="ar-SA"/>
    </w:rPr>
  </w:style>
  <w:style w:type="paragraph" w:styleId="2">
    <w:name w:val="heading 2"/>
    <w:qFormat/>
    <w:basedOn w:val="0"/>
    <w:next w:val="0"/>
    <w:link w:val="2Char"/>
    <w:pPr>
      <w:keepNext/>
      <w:keepLines/>
      <w:spacing w:before="260" w:after="260" w:line="415" w:lineRule="auto"/>
      <w:outlineLvl w:val="1"/>
    </w:pPr>
    <w:rPr>
      <w:rFonts w:ascii="Times New Roman" w:eastAsia="黑体" w:hAnsi="Times New Roman"/>
      <w:b/>
      <w:bCs/>
      <w:sz w:val="32"/>
      <w:szCs w:val="32"/>
    </w:rPr>
  </w:style>
  <w:style w:type="character" w:customStyle="1" w:styleId="2Char">
    <w:name w:val="heading 2 Char"/>
    <w:basedOn w:val="10"/>
    <w:link w:val="2"/>
    <w:rPr>
      <w:rFonts w:ascii="Times New Roman" w:eastAsia="黑体" w:cs="黑体" w:hAnsi="Times New Roman"/>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Calibri" w:eastAsia="宋体" w:cs="黑体" w:hAnsi="Calibri"/>
      <w:b/>
      <w:bCs/>
      <w:kern w:val="2"/>
      <w:sz w:val="32"/>
      <w:szCs w:val="32"/>
      <w:lang w:val="en-US" w:eastAsia="zh-CN" w:bidi="ar-SA"/>
    </w:rPr>
  </w:style>
  <w:style w:type="character" w:default="1" w:styleId="10">
    <w:name w:val="Default Paragraph Font"/>
    <w:qFormat/>
  </w:style>
  <w:style w:type="paragraph" w:styleId="15">
    <w:name w:val="Body Text"/>
    <w:qFormat/>
    <w:basedOn w:val="0"/>
    <w:next w:val="0"/>
    <w:pPr>
      <w:spacing w:after="120"/>
    </w:pPr>
  </w:style>
  <w:style w:type="paragraph" w:styleId="16">
    <w:name w:val="Balloon Text"/>
    <w:qFormat/>
    <w:basedOn w:val="0"/>
    <w:rPr>
      <w:rFonts w:cs="Times New Roman"/>
      <w:sz w:val="18"/>
      <w:szCs w:val="18"/>
    </w:rPr>
  </w:style>
  <w:style w:type="paragraph" w:styleId="17">
    <w:name w:val="footer"/>
    <w:qFormat/>
    <w:basedOn w:val="0"/>
    <w:pPr>
      <w:tabs>
        <w:tab w:val="center" w:pos="4153"/>
        <w:tab w:val="right" w:pos="8306"/>
      </w:tabs>
      <w:snapToGrid w:val="0"/>
      <w:jc w:val="left"/>
    </w:pPr>
    <w:rPr>
      <w:rFonts w:cs="Times New Roman"/>
      <w:sz w:val="18"/>
      <w:szCs w:val="18"/>
    </w:rPr>
  </w:style>
  <w:style w:type="paragraph" w:styleId="18">
    <w:name w:val="header"/>
    <w:qFormat/>
    <w:basedOn w:val="0"/>
    <w:pPr>
      <w:pBdr>
        <w:bottom w:val="single" w:sz="6" w:space="1" w:color="auto"/>
      </w:pBdr>
      <w:tabs>
        <w:tab w:val="center" w:pos="4153"/>
        <w:tab w:val="right" w:pos="8306"/>
      </w:tabs>
      <w:snapToGrid w:val="0"/>
      <w:jc w:val="center"/>
    </w:pPr>
    <w:rPr>
      <w:rFonts w:cs="Times New Roman"/>
      <w:sz w:val="18"/>
      <w:szCs w:val="18"/>
    </w:rPr>
  </w:style>
  <w:style w:type="paragraph" w:styleId="19">
    <w:name w:val="footnote text"/>
    <w:qFormat/>
    <w:basedOn w:val="0"/>
    <w:pPr>
      <w:snapToGrid w:val="0"/>
      <w:jc w:val="left"/>
    </w:pPr>
    <w:rPr>
      <w:rFonts w:cs="Times New Roman"/>
      <w:sz w:val="18"/>
      <w:szCs w:val="18"/>
    </w:rPr>
  </w:style>
  <w:style w:type="paragraph" w:styleId="20">
    <w:name w:val="Normal (Web)"/>
    <w:qFormat/>
    <w:basedOn w:val="0"/>
    <w:pPr>
      <w:spacing w:before="100" w:beforeAutospacing="1" w:after="100" w:afterAutospacing="1"/>
      <w:jc w:val="left"/>
    </w:pPr>
    <w:rPr>
      <w:kern w:val="0"/>
      <w:sz w:val="24"/>
    </w:rPr>
  </w:style>
  <w:style w:type="character" w:styleId="21">
    <w:name w:val="FollowedHyperlink"/>
    <w:qFormat/>
    <w:basedOn w:val="10"/>
    <w:rPr>
      <w:color w:val="3399FF"/>
      <w:u w:val="none"/>
    </w:rPr>
  </w:style>
  <w:style w:type="character" w:styleId="22">
    <w:name w:val="Hyperlink"/>
    <w:qFormat/>
    <w:basedOn w:val="10"/>
    <w:rPr>
      <w:color w:val="3399FF"/>
      <w:u w:val="none"/>
    </w:rPr>
  </w:style>
  <w:style w:type="character" w:styleId="23">
    <w:name w:val="footnote reference"/>
    <w:qFormat/>
    <w:rPr>
      <w:vertAlign w:val="superscript"/>
    </w:rPr>
  </w:style>
  <w:style w:type="paragraph" w:styleId="24">
    <w:name w:val="List Paragraph"/>
    <w:qFormat/>
    <w:basedOn w:val="0"/>
    <w:pPr>
      <w:ind w:firstLineChars="200" w:firstLine="200"/>
    </w:pPr>
  </w:style>
  <w:style w:type="character" w:customStyle="1" w:yozoId="4094" w:styleId="25">
    <w:name w:val="font11"/>
    <w:qFormat/>
    <w:basedOn w:val="10"/>
    <w:rPr>
      <w:rFonts w:ascii="微软雅黑" w:eastAsia="微软雅黑" w:cs="微软雅黑" w:hAnsi="微软雅黑"/>
      <w:color w:val="000000"/>
      <w:sz w:val="24"/>
      <w:szCs w:val="24"/>
      <w:u w:val="none"/>
    </w:rPr>
  </w:style>
  <w:style w:type="character" w:customStyle="1" w:yozoId="4094" w:styleId="26">
    <w:name w:val="font21"/>
    <w:qFormat/>
    <w:basedOn w:val="10"/>
    <w:rPr>
      <w:rFonts w:ascii="宋体" w:eastAsia="宋体" w:cs="宋体" w:hAnsi="宋体"/>
      <w:color w:val="000000"/>
      <w:sz w:val="18"/>
      <w:szCs w:val="18"/>
      <w:u w:val="none"/>
    </w:rPr>
  </w:style>
  <w:style w:type="character" w:customStyle="1" w:yozoId="4094" w:styleId="27">
    <w:name w:val="font31"/>
    <w:qFormat/>
    <w:basedOn w:val="10"/>
    <w:rPr>
      <w:rFonts w:ascii="Calibri" w:cs="Calibri" w:hAnsi="Calibri"/>
      <w:color w:val="000000"/>
      <w:sz w:val="18"/>
      <w:szCs w:val="18"/>
      <w:u w:val="none"/>
    </w:rPr>
  </w:style>
  <w:style w:type="character" w:customStyle="1" w:yozoId="4094" w:styleId="28">
    <w:name w:val="font51"/>
    <w:qFormat/>
    <w:basedOn w:val="10"/>
    <w:rPr>
      <w:rFonts w:ascii="Calibri" w:cs="Calibri" w:hAnsi="Calibri"/>
      <w:color w:val="000000"/>
      <w:sz w:val="22"/>
      <w:szCs w:val="22"/>
      <w:u w:val="none"/>
    </w:rPr>
  </w:style>
  <w:style w:type="character" w:customStyle="1" w:yozoId="4094" w:styleId="29">
    <w:name w:val="font41"/>
    <w:qFormat/>
    <w:basedOn w:val="10"/>
    <w:rPr>
      <w:rFonts w:ascii="宋体" w:eastAsia="宋体" w:cs="宋体" w:hAnsi="宋体"/>
      <w:color w:val="333333"/>
      <w:sz w:val="22"/>
      <w:szCs w:val="22"/>
      <w:u w:val="none"/>
    </w:rPr>
  </w:style>
  <w:style w:type="character" w:customStyle="1" w:yozoId="4094" w:styleId="30">
    <w:name w:val="font01"/>
    <w:qFormat/>
    <w:basedOn w:val="10"/>
    <w:rPr>
      <w:rFonts w:ascii="宋体" w:eastAsia="宋体" w:cs="宋体" w:hAnsi="宋体"/>
      <w:b/>
      <w:bCs/>
      <w:color w:val="C00000"/>
      <w:sz w:val="22"/>
      <w:szCs w:val="22"/>
      <w:u w:val="none"/>
    </w:rPr>
  </w:style>
  <w:style w:type="character" w:customStyle="1" w:yozoId="4094" w:styleId="31">
    <w:name w:val="font81"/>
    <w:qFormat/>
    <w:basedOn w:val="10"/>
    <w:rPr>
      <w:rFonts w:ascii="宋体" w:eastAsia="宋体" w:cs="宋体" w:hAnsi="宋体"/>
      <w:b/>
      <w:bCs/>
      <w:color w:val="000000"/>
      <w:sz w:val="22"/>
      <w:szCs w:val="22"/>
      <w:u w:val="none"/>
    </w:rPr>
  </w:style>
  <w:style w:type="character" w:customStyle="1" w:yozoId="4094" w:styleId="32">
    <w:name w:val="font61"/>
    <w:qFormat/>
    <w:basedOn w:val="10"/>
    <w:rPr>
      <w:rFonts w:ascii="宋体" w:eastAsia="宋体" w:cs="宋体" w:hAnsi="宋体"/>
      <w:b/>
      <w:bCs/>
      <w:color w:val="000000"/>
      <w:sz w:val="22"/>
      <w:szCs w:val="22"/>
      <w:u w:val="none"/>
    </w:rPr>
  </w:style>
  <w:style w:type="character" w:customStyle="1" w:yozoId="4094" w:styleId="33">
    <w:name w:val="font91"/>
    <w:qFormat/>
    <w:basedOn w:val="10"/>
    <w:rPr>
      <w:rFonts w:ascii="Calibri" w:cs="Calibri" w:hAnsi="Calibri"/>
      <w:b/>
      <w:bCs/>
      <w:color w:val="000000"/>
      <w:sz w:val="22"/>
      <w:szCs w:val="22"/>
      <w:u w:val="none"/>
    </w:rPr>
  </w:style>
  <w:style w:type="character" w:customStyle="1" w:yozoId="4094" w:styleId="34">
    <w:name w:val="font101"/>
    <w:qFormat/>
    <w:basedOn w:val="10"/>
    <w:rPr>
      <w:rFonts w:ascii="Times New Roman" w:cs="Times New Roman" w:hAnsi="Times New Roman"/>
      <w:b/>
      <w:bCs/>
      <w:color w:val="000000"/>
      <w:sz w:val="22"/>
      <w:szCs w:val="22"/>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customXml" Target="../customXml/item1.xml"/><Relationship Id="rId7"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sectPr/>
  </customProps>
</customData>
</file>

<file path=customXml/itemProps1.xml><?xml version="1.0" encoding="utf-8"?>
<ds:datastoreItem xmlns:ds="http://schemas.openxmlformats.org/officeDocument/2006/customXml" ds:itemID="{1E0CDA37-F456-4375-BACD-66340C65D5A6}">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1667</TotalTime>
  <Application>WPS_Yozo_Office9.0.7493.101ZH.SC35</Application>
  <Pages>8</Pages>
  <Words>0</Words>
  <Characters>4608</Characters>
  <Lines>0</Lines>
  <Paragraphs>58</Paragraphs>
  <CharactersWithSpaces>6144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title>广元市第一人民医院</dc:title>
  <dc:creator>Administrator</dc:creator>
  <cp:lastModifiedBy>ADMIN</cp:lastModifiedBy>
  <cp:revision>44</cp:revision>
  <cp:lastPrinted>2025-05-15T06:00:00Z</cp:lastPrinted>
  <dcterms:created xsi:type="dcterms:W3CDTF">2022-03-16T03:44:00Z</dcterms:created>
  <dcterms:modified xsi:type="dcterms:W3CDTF">2026-06-30T01:58:42Z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2052-11.1.0.12650</vt:lpwstr>
  </property>
  <property fmtid="{D5CDD505-2E9C-101B-9397-08002B2CF9AE}" pid="3" name="ICV">
    <vt:lpwstr>A1476A3C0EEC455CA03ABE6CDF4213CA_13</vt:lpwstr>
  </property>
</Properties>
</file>