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宋体" w:cs="Times New Roman"/>
          <w:sz w:val="22"/>
          <w:szCs w:val="28"/>
          <w:lang w:val="en-US" w:eastAsia="zh-CN"/>
        </w:rPr>
      </w:pPr>
      <w:bookmarkStart w:id="0" w:name="_GoBack"/>
      <w:bookmarkEnd w:id="0"/>
      <w:r>
        <w:rPr>
          <w:rFonts w:hint="eastAsia" w:cs="Times New Roman"/>
          <w:sz w:val="22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广元市精神卫生中心康复综合楼建设项目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80"/>
        <w:jc w:val="center"/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窗帘采购技术参数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29"/>
        <w:gridCol w:w="4730"/>
        <w:gridCol w:w="614"/>
        <w:gridCol w:w="689"/>
        <w:gridCol w:w="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名称</w:t>
            </w:r>
          </w:p>
        </w:tc>
        <w:tc>
          <w:tcPr>
            <w:tcW w:w="277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参数要求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单位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数量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8" w:hRule="atLeast"/>
        </w:trPr>
        <w:tc>
          <w:tcPr>
            <w:tcW w:w="339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遮光窗帘（含轨道、辅料）</w:t>
            </w:r>
          </w:p>
        </w:tc>
        <w:tc>
          <w:tcPr>
            <w:tcW w:w="277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▲1、面料成份：100%聚脂纤维;</w:t>
            </w: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2、幅宽：280cm(士2)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3、布料颜色:多色可选(根据采购单位需求提供)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4、厚度: 0.5mm (士2%)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▲5、可分解致癌芳香胺要求：禁用；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 xml:space="preserve">▲6、重量： 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</w:rPr>
              <w:t>≥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275g/m ；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 xml:space="preserve">▲7、遮光率: 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</w:rPr>
              <w:t>≥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92%遮光;经向密度:&gt;1258根/10cm,纬向密度:&gt;213根/10cm;</w:t>
            </w:r>
          </w:p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▲8、环保和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阻燃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性:符合GB/T17591-2006 B1级标准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▲9、依据GB/T3921-2008《纺织品色牢度试验耐皂洗色牢度》:帘布耐皂洗色牢度：变色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</w:rPr>
              <w:t>≥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 xml:space="preserve"> 4.0，沾色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</w:rPr>
              <w:t>≥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 xml:space="preserve"> 3;耐光色牢度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</w:rPr>
              <w:t>≥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 xml:space="preserve"> 5;水洗尺寸变化率：经向：+3-3.0，纬向：+3—-3.0;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 xml:space="preserve">▲10、依据GB 18401-2010《国家纺织产品基本安全技术规范》，要求甲醛含量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≦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300mg/kg;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11、布帘为轨道长度的两倍，即两倍皱折，含盖整个窗户墙面;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12、下卷边12cm,两侧卷边3cm，褶皱比1:2;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▲13、防紫外线性能:UPF值&gt;40，T(UVA)AV%&lt;5；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▲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4、可萃取铅含量:</w:t>
            </w: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</w:rPr>
              <w:t>≤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1.0mg/kg;可萃取铬含量：</w:t>
            </w: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</w:rPr>
              <w:t>≤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2.0mg/kg;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▲1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、PH值：5.5-9.0；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▲1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>、无异味;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方型轨道结构，燕尾槽滑道设置，壁厚1.2-1.4mm,抗弯曲性能强，一体成型，静音；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规格:不小于23mm*24mm;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19、吊轮:采用3mm铆钉固定，标准承重达10kg；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20、重量：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</w:rPr>
              <w:t>≥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270g/米，维氏硬度（HV）</w:t>
            </w:r>
            <w:r>
              <w:rPr>
                <w:rFonts w:hint="default" w:ascii="Arial" w:hAnsi="Arial" w:cs="Arial"/>
                <w:sz w:val="22"/>
                <w:szCs w:val="22"/>
                <w:vertAlign w:val="baseline"/>
              </w:rPr>
              <w:t>≥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58;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21、轨盖:原生树脂，轨盖螺丝和D环符合SUS304材质；</w:t>
            </w:r>
          </w:p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22、封口:方形封口;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0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米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2896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</w:trPr>
        <w:tc>
          <w:tcPr>
            <w:tcW w:w="339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545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  <w:t>卷帘</w:t>
            </w:r>
          </w:p>
        </w:tc>
        <w:tc>
          <w:tcPr>
            <w:tcW w:w="2774" w:type="pct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成份：17%聚脂纤维+83%聚氯乙烯;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 xml:space="preserve">2、克重： </w:t>
            </w: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480mg/m ，厚度0.64(士2)mm;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3、经纬密：经线45，纬线42，开孔率约5%;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4、挡紫外线约50%;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5、抗拉强度:ASTMD5034，经向</w:t>
            </w: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2190N/5cm，纬向</w:t>
            </w: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2030N/5cm;抗撕裂强 ASTMD1117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 xml:space="preserve">103N/5cm,纬向 </w:t>
            </w: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94N/5cm;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6、防火等级：GB50222-2001B1 级;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拉绳:波珠材料: POM，芯绳材料直经1.5mm;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8、尾插制头:采用优质加固的聚酯聚合物材质与PC工程材料;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9、卷管采用直径38mm优质铝合金，实际隔厚</w:t>
            </w: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1mm表面防氧化处理;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10、安装支架采用冷轧钢板材，表面镀锌防绣处理。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11、连续性：卷帘伸展收回时没有停顿，滞阻，松动，整个过程连续顺滑；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12、操作平展无皱褶，无跑偏及与其它部位摩擦;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13、收回时无自动下坠;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14、操作力</w:t>
            </w: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val="en-US" w:eastAsia="zh-CN"/>
              </w:rPr>
              <w:t>≤</w:t>
            </w: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90N;</w:t>
            </w:r>
          </w:p>
          <w:p>
            <w:pPr>
              <w:jc w:val="both"/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15、机械耐久性:</w:t>
            </w:r>
            <w:r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default" w:ascii="宋体" w:hAnsi="宋体" w:eastAsia="宋体"/>
                <w:sz w:val="22"/>
                <w:szCs w:val="22"/>
                <w:vertAlign w:val="baseline"/>
                <w:lang w:val="en-US" w:eastAsia="zh-CN"/>
              </w:rPr>
              <w:t>10000次。</w:t>
            </w:r>
          </w:p>
        </w:tc>
        <w:tc>
          <w:tcPr>
            <w:tcW w:w="360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㎡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jc w:val="both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576" w:type="pct"/>
            <w:noWrap w:val="0"/>
            <w:vAlign w:val="center"/>
          </w:tcPr>
          <w:p>
            <w:pPr>
              <w:jc w:val="both"/>
              <w:rPr>
                <w:rFonts w:ascii="宋体" w:hAnsi="宋体"/>
                <w:sz w:val="22"/>
                <w:szCs w:val="22"/>
                <w:vertAlign w:val="baseline"/>
              </w:rPr>
            </w:pPr>
          </w:p>
        </w:tc>
      </w:tr>
    </w:tbl>
    <w:p>
      <w:pPr>
        <w:jc w:val="both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08651"/>
    <w:multiLevelType w:val="singleLevel"/>
    <w:tmpl w:val="1880865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D63ED71"/>
    <w:multiLevelType w:val="singleLevel"/>
    <w:tmpl w:val="4D63ED71"/>
    <w:lvl w:ilvl="0" w:tentative="0">
      <w:start w:val="17"/>
      <w:numFmt w:val="decimal"/>
      <w:suff w:val="nothing"/>
      <w:lvlText w:val="%1、"/>
      <w:lvlJc w:val="left"/>
    </w:lvl>
  </w:abstractNum>
  <w:abstractNum w:abstractNumId="2">
    <w:nsid w:val="4E33B2EF"/>
    <w:multiLevelType w:val="singleLevel"/>
    <w:tmpl w:val="4E33B2EF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300d8cb5-17a3-43f0-809d-b4f9a9b28ffe"/>
  </w:docVars>
  <w:rsids>
    <w:rsidRoot w:val="7DC47967"/>
    <w:rsid w:val="04E13A54"/>
    <w:rsid w:val="08B44F9B"/>
    <w:rsid w:val="0B8F6A6E"/>
    <w:rsid w:val="140C6C6E"/>
    <w:rsid w:val="145A4323"/>
    <w:rsid w:val="150F0169"/>
    <w:rsid w:val="15FA4976"/>
    <w:rsid w:val="198E30C4"/>
    <w:rsid w:val="1D81063A"/>
    <w:rsid w:val="20286583"/>
    <w:rsid w:val="21221A61"/>
    <w:rsid w:val="28221B0A"/>
    <w:rsid w:val="2B065713"/>
    <w:rsid w:val="2D1B15FA"/>
    <w:rsid w:val="2D7534FD"/>
    <w:rsid w:val="2F9B1968"/>
    <w:rsid w:val="34C71A6F"/>
    <w:rsid w:val="3F0906B4"/>
    <w:rsid w:val="402E6E46"/>
    <w:rsid w:val="41C004B5"/>
    <w:rsid w:val="41EF2605"/>
    <w:rsid w:val="451657DB"/>
    <w:rsid w:val="470D3797"/>
    <w:rsid w:val="48D77AA7"/>
    <w:rsid w:val="4C065EA5"/>
    <w:rsid w:val="4D5B6BCA"/>
    <w:rsid w:val="507E6B8D"/>
    <w:rsid w:val="51D75590"/>
    <w:rsid w:val="52EF2398"/>
    <w:rsid w:val="534D66DE"/>
    <w:rsid w:val="542F792F"/>
    <w:rsid w:val="547215A0"/>
    <w:rsid w:val="5C1D3A0F"/>
    <w:rsid w:val="60180706"/>
    <w:rsid w:val="60F47732"/>
    <w:rsid w:val="63A707BD"/>
    <w:rsid w:val="65D05A37"/>
    <w:rsid w:val="672B6D2E"/>
    <w:rsid w:val="69456E2B"/>
    <w:rsid w:val="6DC41DD2"/>
    <w:rsid w:val="6DE90D87"/>
    <w:rsid w:val="6F9D70FE"/>
    <w:rsid w:val="71557E27"/>
    <w:rsid w:val="71655B6B"/>
    <w:rsid w:val="72273480"/>
    <w:rsid w:val="74E05E0D"/>
    <w:rsid w:val="7752784D"/>
    <w:rsid w:val="7B783090"/>
    <w:rsid w:val="7DC47967"/>
    <w:rsid w:val="7F58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1461</Characters>
  <Lines>0</Lines>
  <Paragraphs>0</Paragraphs>
  <TotalTime>18</TotalTime>
  <ScaleCrop>false</ScaleCrop>
  <LinksUpToDate>false</LinksUpToDate>
  <CharactersWithSpaces>1481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2023-06-27T01:09:00Z</dcterms:created>
  <dc:creator>Administrator</dc:creator>
  <cp:lastModifiedBy>佩</cp:lastModifiedBy>
  <dcterms:modified xsi:type="dcterms:W3CDTF">2025-02-25T02:35:59Z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4F7FC0E78B5C40009C297F56CDFD7179_11</vt:lpwstr>
  </property>
</Properties>
</file>