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eastAsia" w:ascii="黑体" w:hAnsi="黑体" w:eastAsia="黑体" w:cs="黑体"/>
          <w:sz w:val="32"/>
          <w:szCs w:val="32"/>
          <w:lang w:val="en-US"/>
        </w:rPr>
      </w:pPr>
      <w:r>
        <w:rPr>
          <w:rFonts w:hint="eastAsia" w:ascii="黑体" w:hAnsi="黑体" w:eastAsia="黑体" w:cs="黑体"/>
          <w:sz w:val="32"/>
          <w:szCs w:val="32"/>
          <w:lang w:val="en-US"/>
        </w:rPr>
        <w:t>附件一</w:t>
      </w:r>
    </w:p>
    <w:p>
      <w:pPr>
        <w:ind w:firstLine="560"/>
        <w:jc w:val="center"/>
        <w:rPr>
          <w:rFonts w:eastAsia="宋体"/>
        </w:rPr>
      </w:pPr>
    </w:p>
    <w:p>
      <w:pPr>
        <w:ind w:firstLine="600"/>
        <w:jc w:val="center"/>
        <w:rPr>
          <w:rFonts w:eastAsia="宋体"/>
          <w:b/>
          <w:bCs/>
          <w:sz w:val="30"/>
          <w:szCs w:val="30"/>
        </w:rPr>
      </w:pPr>
      <w:r>
        <w:rPr>
          <w:rFonts w:hint="eastAsia" w:ascii="方正小标宋简体" w:hAnsi="方正小标宋简体" w:eastAsia="方正小标宋简体" w:cs="方正小标宋简体"/>
          <w:b/>
          <w:bCs/>
          <w:sz w:val="30"/>
          <w:szCs w:val="30"/>
        </w:rPr>
        <w:t>广元市精神卫生中心医疗云服务租赁项目的基本情况</w:t>
      </w:r>
    </w:p>
    <w:p>
      <w:pPr>
        <w:ind w:firstLine="560"/>
        <w:rPr>
          <w:rFonts w:eastAsia="宋体"/>
        </w:rPr>
      </w:pPr>
    </w:p>
    <w:p>
      <w:pPr>
        <w:ind w:firstLine="643"/>
        <w:rPr>
          <w:rFonts w:hint="eastAsia" w:ascii="仿宋_GB2312" w:hAnsi="仿宋_GB2312" w:eastAsia="仿宋_GB2312" w:cs="仿宋_GB2312"/>
          <w:szCs w:val="28"/>
        </w:rPr>
      </w:pPr>
      <w:r>
        <w:rPr>
          <w:rFonts w:hint="eastAsia" w:ascii="宋体" w:hAnsi="宋体" w:eastAsia="宋体" w:cs="宋体"/>
          <w:b/>
          <w:bCs/>
          <w:sz w:val="32"/>
          <w:szCs w:val="32"/>
        </w:rPr>
        <w:t>一、需求明细</w:t>
      </w:r>
    </w:p>
    <w:p>
      <w:pPr>
        <w:ind w:firstLine="560"/>
        <w:rPr>
          <w:rFonts w:hint="eastAsia" w:ascii="仿宋_GB2312" w:hAnsi="仿宋_GB2312" w:eastAsia="仿宋_GB2312" w:cs="仿宋_GB2312"/>
          <w:szCs w:val="28"/>
        </w:rPr>
      </w:pPr>
      <w:r>
        <w:rPr>
          <w:rFonts w:hint="eastAsia" w:ascii="仿宋_GB2312" w:hAnsi="仿宋_GB2312" w:eastAsia="仿宋_GB2312" w:cs="仿宋_GB2312"/>
          <w:szCs w:val="28"/>
        </w:rPr>
        <w:t>截至目前，广元市精神卫生中心共有80个业务系统，其中包含医院的核心业务系统医院信息管理系统（HIS）、电子病历系统（EMR）、影像归档和通信系统（PACS）、实验室信息管理系统（LIS） 等核心业务系统以及其他辅助业务系统，具体需求如下：</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计算现有资源情况：</w:t>
      </w:r>
      <w:r>
        <w:rPr>
          <w:rFonts w:hint="eastAsia" w:ascii="仿宋_GB2312" w:hAnsi="仿宋_GB2312" w:eastAsia="仿宋_GB2312" w:cs="仿宋_GB2312"/>
          <w:szCs w:val="28"/>
        </w:rPr>
        <w:t>1266核vCPU，内存3.3T,预估每年增长10%，资源可根据业务需求弹性扩展，具备灵活的资源调配能力，以确保业务稳定开展。</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存储现有资源情况</w:t>
      </w:r>
      <w:r>
        <w:rPr>
          <w:rFonts w:hint="eastAsia" w:ascii="仿宋_GB2312" w:hAnsi="仿宋_GB2312" w:eastAsia="仿宋_GB2312" w:cs="仿宋_GB2312"/>
          <w:szCs w:val="28"/>
        </w:rPr>
        <w:t>：通用型存储114.1</w:t>
      </w:r>
      <w:r>
        <w:rPr>
          <w:rFonts w:hint="eastAsia" w:ascii="仿宋_GB2312" w:hAnsi="仿宋_GB2312" w:eastAsia="仿宋_GB2312" w:cs="仿宋_GB2312"/>
          <w:b/>
          <w:bCs/>
          <w:szCs w:val="28"/>
        </w:rPr>
        <w:t>TB</w:t>
      </w:r>
      <w:r>
        <w:rPr>
          <w:rFonts w:hint="eastAsia" w:ascii="仿宋_GB2312" w:hAnsi="仿宋_GB2312" w:eastAsia="仿宋_GB2312" w:cs="仿宋_GB2312"/>
          <w:szCs w:val="28"/>
        </w:rPr>
        <w:t xml:space="preserve"> ，高性能存储41.3TB，预估每年增长20%，资源主要用于存储医院的结构化数据，如病历、患者信息等。存储需具备数据冗余机制，高性能存储须具备存储双活能力，保障数据的安全性和可靠性。</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网络资源：</w:t>
      </w:r>
      <w:r>
        <w:rPr>
          <w:rFonts w:hint="eastAsia" w:ascii="仿宋_GB2312" w:hAnsi="仿宋_GB2312" w:eastAsia="仿宋_GB2312" w:cs="仿宋_GB2312"/>
          <w:szCs w:val="28"/>
        </w:rPr>
        <w:t>医院到云服务商的机房：提供不低于10000Mbps的稳定的主备链路，保障医院网络的顺畅通信。</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安全服务</w:t>
      </w:r>
      <w:r>
        <w:rPr>
          <w:rFonts w:hint="eastAsia" w:ascii="仿宋_GB2312" w:hAnsi="仿宋_GB2312" w:eastAsia="仿宋_GB2312" w:cs="仿宋_GB2312"/>
          <w:szCs w:val="28"/>
        </w:rPr>
        <w:t>：满足国家三级等保标准的安全防护服务相关要求，包括但不限于网络安全防护、身份认证、安全审计、WEB应用防护、态势感知、数据防泄漏等。定期对系统进行安全漏洞扫描和修复，确保系统安全稳定运行。在测评过程中平台整改所产生的费用，需服务商提供。</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密码服务：</w:t>
      </w:r>
      <w:r>
        <w:rPr>
          <w:rFonts w:hint="eastAsia" w:ascii="仿宋_GB2312" w:hAnsi="仿宋_GB2312" w:eastAsia="仿宋_GB2312" w:cs="仿宋_GB2312"/>
          <w:szCs w:val="28"/>
        </w:rPr>
        <w:t>满足国家商用密码应用安全性评估相关资源服务要求。</w:t>
      </w:r>
    </w:p>
    <w:p>
      <w:pPr>
        <w:widowControl/>
        <w:ind w:firstLine="560"/>
        <w:jc w:val="left"/>
        <w:rPr>
          <w:rFonts w:hint="eastAsia" w:ascii="仿宋_GB2312" w:hAnsi="仿宋_GB2312" w:eastAsia="仿宋_GB2312" w:cs="仿宋_GB2312"/>
          <w:szCs w:val="28"/>
        </w:rPr>
      </w:pPr>
      <w:r>
        <w:rPr>
          <w:rFonts w:hint="eastAsia" w:ascii="仿宋_GB2312" w:hAnsi="仿宋_GB2312" w:eastAsia="仿宋_GB2312" w:cs="仿宋_GB2312"/>
          <w:b/>
          <w:bCs/>
          <w:szCs w:val="28"/>
        </w:rPr>
        <w:t>业务容灾：</w:t>
      </w:r>
      <w:r>
        <w:rPr>
          <w:rFonts w:hint="eastAsia" w:ascii="仿宋_GB2312" w:hAnsi="仿宋_GB2312" w:eastAsia="仿宋_GB2312" w:cs="仿宋_GB2312"/>
          <w:szCs w:val="28"/>
        </w:rPr>
        <w:t>医院的核心业务系统需要进行业务容灾，提供实时数据同步，保障业务高可用。</w:t>
      </w:r>
    </w:p>
    <w:p>
      <w:pPr>
        <w:widowControl/>
        <w:ind w:firstLine="560"/>
        <w:jc w:val="left"/>
        <w:rPr>
          <w:rFonts w:hint="eastAsia" w:ascii="仿宋_GB2312" w:hAnsi="仿宋_GB2312" w:eastAsia="仿宋_GB2312" w:cs="仿宋_GB2312"/>
          <w:b/>
          <w:bCs/>
          <w:szCs w:val="28"/>
        </w:rPr>
      </w:pPr>
      <w:r>
        <w:rPr>
          <w:rFonts w:hint="eastAsia" w:ascii="仿宋_GB2312" w:hAnsi="仿宋_GB2312" w:eastAsia="仿宋_GB2312" w:cs="仿宋_GB2312"/>
          <w:b/>
          <w:bCs/>
          <w:szCs w:val="28"/>
        </w:rPr>
        <w:t>数据备份：</w:t>
      </w:r>
      <w:r>
        <w:rPr>
          <w:rFonts w:hint="eastAsia" w:ascii="仿宋_GB2312" w:hAnsi="仿宋_GB2312" w:eastAsia="仿宋_GB2312" w:cs="仿宋_GB2312"/>
          <w:szCs w:val="28"/>
        </w:rPr>
        <w:t>提供全量数据本地备份及异地备份。</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技术支持</w:t>
      </w:r>
      <w:r>
        <w:rPr>
          <w:rFonts w:hint="eastAsia" w:ascii="仿宋_GB2312" w:hAnsi="仿宋_GB2312" w:eastAsia="仿宋_GB2312" w:cs="仿宋_GB2312"/>
          <w:szCs w:val="28"/>
        </w:rPr>
        <w:t>：服务商需提供 7×24 小时的技术支持服务与定期设备设施巡检服务。</w:t>
      </w:r>
    </w:p>
    <w:p>
      <w:pPr>
        <w:ind w:firstLine="560"/>
        <w:rPr>
          <w:rFonts w:hint="eastAsia" w:ascii="仿宋_GB2312" w:hAnsi="仿宋_GB2312" w:eastAsia="仿宋_GB2312" w:cs="仿宋_GB2312"/>
          <w:szCs w:val="28"/>
        </w:rPr>
      </w:pPr>
      <w:r>
        <w:rPr>
          <w:rFonts w:hint="eastAsia" w:ascii="仿宋_GB2312" w:hAnsi="仿宋_GB2312" w:eastAsia="仿宋_GB2312" w:cs="仿宋_GB2312"/>
          <w:b/>
          <w:bCs/>
          <w:szCs w:val="28"/>
        </w:rPr>
        <w:t>迁移服</w:t>
      </w:r>
      <w:r>
        <w:rPr>
          <w:rFonts w:hint="eastAsia"/>
          <w:b/>
          <w:bCs/>
        </w:rPr>
        <w:t>务</w:t>
      </w:r>
      <w:r>
        <w:rPr>
          <w:rFonts w:hint="eastAsia"/>
        </w:rPr>
        <w:t>：</w:t>
      </w:r>
      <w:r>
        <w:rPr>
          <w:rFonts w:hint="eastAsia" w:ascii="仿宋_GB2312" w:hAnsi="仿宋_GB2312" w:eastAsia="仿宋_GB2312" w:cs="仿宋_GB2312"/>
          <w:szCs w:val="28"/>
        </w:rPr>
        <w:t>服务商为院方提供医疗云服务，完成所有业务系统的无损迁移并保证业务正常运行。迁移过程中所产生的费用，由服务商承担。</w:t>
      </w:r>
    </w:p>
    <w:p>
      <w:pPr>
        <w:ind w:firstLine="643"/>
        <w:rPr>
          <w:rFonts w:hint="eastAsia" w:ascii="宋体" w:hAnsi="宋体" w:eastAsia="宋体" w:cs="宋体"/>
          <w:b/>
          <w:bCs/>
          <w:sz w:val="32"/>
          <w:szCs w:val="32"/>
        </w:rPr>
      </w:pPr>
      <w:r>
        <w:rPr>
          <w:rFonts w:hint="eastAsia" w:ascii="宋体" w:hAnsi="宋体" w:eastAsia="宋体" w:cs="宋体"/>
          <w:b/>
          <w:bCs/>
          <w:sz w:val="32"/>
          <w:szCs w:val="32"/>
        </w:rPr>
        <w:t>二、其他要求</w:t>
      </w:r>
    </w:p>
    <w:p>
      <w:pPr>
        <w:widowControl/>
        <w:ind w:firstLine="560"/>
        <w:jc w:val="left"/>
        <w:rPr>
          <w:rFonts w:hint="eastAsia" w:ascii="仿宋_GB2312" w:hAnsi="仿宋_GB2312" w:eastAsia="仿宋_GB2312" w:cs="仿宋_GB2312"/>
          <w:szCs w:val="28"/>
        </w:rPr>
      </w:pPr>
      <w:r>
        <w:rPr>
          <w:rFonts w:hint="eastAsia" w:ascii="仿宋_GB2312" w:hAnsi="仿宋_GB2312" w:eastAsia="仿宋_GB2312" w:cs="仿宋_GB2312"/>
          <w:szCs w:val="28"/>
        </w:rPr>
        <w:t>医院租赁的医疗云服务需具备高可用性、高扩展性，能够充分满足智慧医疗（电子病历）分级评价评估标准体系、国家医疗健康信息互联互通标准化成熟度测评等医院信息化基础设施的相关评审要求。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19A1D2F-243A-4D75-900F-CA448792181D}"/>
  </w:font>
  <w:font w:name="方正仿宋简体">
    <w:panose1 w:val="02000000000000000000"/>
    <w:charset w:val="86"/>
    <w:family w:val="auto"/>
    <w:pitch w:val="default"/>
    <w:sig w:usb0="A00002BF" w:usb1="184F6CFA" w:usb2="00000012" w:usb3="00000000" w:csb0="00040001" w:csb1="00000000"/>
  </w:font>
  <w:font w:name="Times New Roman Bold">
    <w:altName w:val="Times New Roman"/>
    <w:panose1 w:val="02020803070505020304"/>
    <w:charset w:val="00"/>
    <w:family w:val="auto"/>
    <w:pitch w:val="default"/>
    <w:sig w:usb0="00000000" w:usb1="00000000" w:usb2="00000001" w:usb3="00000000" w:csb0="400001BF" w:csb1="DFF70000"/>
  </w:font>
  <w:font w:name="方正小标宋简体">
    <w:panose1 w:val="02000000000000000000"/>
    <w:charset w:val="86"/>
    <w:family w:val="auto"/>
    <w:pitch w:val="default"/>
    <w:sig w:usb0="00000001" w:usb1="08000000" w:usb2="00000000" w:usb3="00000000" w:csb0="00040000" w:csb1="00000000"/>
    <w:embedRegular r:id="rId2" w:fontKey="{2580D7A3-457C-4E35-AB8C-066138F8C244}"/>
  </w:font>
  <w:font w:name="仿宋_GB2312">
    <w:panose1 w:val="02010609030101010101"/>
    <w:charset w:val="86"/>
    <w:family w:val="auto"/>
    <w:pitch w:val="default"/>
    <w:sig w:usb0="00000001" w:usb1="080E0000" w:usb2="00000000" w:usb3="00000000" w:csb0="00040000" w:csb1="00000000"/>
    <w:embedRegular r:id="rId3" w:fontKey="{B456DFBE-0836-4FF6-91A5-9D00006539D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5865D"/>
    <w:multiLevelType w:val="multilevel"/>
    <w:tmpl w:val="F7F5865D"/>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12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3001"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ZTFmNjAwZDllOTFmNzgzMmI5M2YzZTJkODA4OGEifQ=="/>
    <w:docVar w:name="KSO_WPS_MARK_KEY" w:val="a3dfc89e-2a8e-4108-b665-36455ecd69fe"/>
  </w:docVars>
  <w:rsids>
    <w:rsidRoot w:val="1D3C551F"/>
    <w:rsid w:val="1D3C5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1" w:firstLineChars="200"/>
      <w:jc w:val="both"/>
    </w:pPr>
    <w:rPr>
      <w:rFonts w:ascii="Calibri" w:hAnsi="Calibri" w:eastAsia="方正仿宋简体" w:cs="Times New Roman"/>
      <w:kern w:val="2"/>
      <w:sz w:val="28"/>
      <w:szCs w:val="22"/>
      <w:lang w:val="en-US" w:eastAsia="zh-CN" w:bidi="ar-SA"/>
    </w:rPr>
  </w:style>
  <w:style w:type="paragraph" w:styleId="2">
    <w:name w:val="heading 1"/>
    <w:basedOn w:val="1"/>
    <w:next w:val="1"/>
    <w:qFormat/>
    <w:uiPriority w:val="0"/>
    <w:pPr>
      <w:keepNext/>
      <w:keepLines/>
      <w:numPr>
        <w:ilvl w:val="0"/>
        <w:numId w:val="1"/>
      </w:numPr>
      <w:spacing w:before="120" w:after="120" w:line="579" w:lineRule="auto"/>
      <w:ind w:firstLineChars="0"/>
      <w:jc w:val="center"/>
      <w:outlineLvl w:val="0"/>
    </w:pPr>
    <w:rPr>
      <w:rFonts w:ascii="Times New Roman Bold" w:hAnsi="Times New Roman Bold" w:eastAsia="宋体"/>
      <w:b/>
      <w:bCs/>
      <w:kern w:val="44"/>
      <w:szCs w:val="44"/>
      <w:lang w:val="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2025-01-24T08:06:00Z</dcterms:created>
  <dc:creator>佩</dc:creator>
  <cp:lastModifiedBy>佩</cp:lastModifiedBy>
  <dcterms:modified xsi:type="dcterms:W3CDTF">2025-01-24T08:06:43Z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3877C2686F974507A3EFFF6BE2520AB1</vt:lpwstr>
  </property>
</Properties>
</file>