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left="0" w:leftChars="0" w:firstLine="482" w:firstLineChars="200"/>
        <w:rPr>
          <w:rFonts w:hint="eastAsia"/>
          <w:b/>
          <w:bCs/>
          <w:sz w:val="24"/>
        </w:rPr>
      </w:pPr>
      <w:r>
        <w:rPr>
          <w:rFonts w:hint="eastAsia"/>
          <w:b/>
          <w:bCs/>
          <w:sz w:val="24"/>
        </w:rPr>
        <w:t>项目名称：</w:t>
      </w:r>
      <w:r>
        <w:rPr>
          <w:rFonts w:hint="eastAsia"/>
          <w:b/>
          <w:bCs/>
          <w:sz w:val="24"/>
          <w:lang w:val="en-US" w:eastAsia="zh-CN"/>
        </w:rPr>
        <w:t>2024年第二批耗材询价项目</w:t>
      </w:r>
    </w:p>
    <w:p>
      <w:pPr>
        <w:numPr>
          <w:ilvl w:val="0"/>
          <w:numId w:val="1"/>
        </w:numPr>
        <w:spacing w:line="440" w:lineRule="exact"/>
        <w:ind w:left="0" w:leftChars="0" w:firstLine="482" w:firstLineChars="200"/>
        <w:rPr>
          <w:rFonts w:hint="eastAsia"/>
          <w:b/>
          <w:bCs/>
          <w:sz w:val="24"/>
          <w:lang w:val="en-US" w:eastAsia="zh-CN"/>
        </w:rPr>
      </w:pPr>
      <w:r>
        <w:rPr>
          <w:rFonts w:hint="eastAsia"/>
          <w:b/>
          <w:bCs/>
          <w:sz w:val="24"/>
        </w:rPr>
        <w:t>项目清单</w:t>
      </w:r>
    </w:p>
    <w:p>
      <w:pPr>
        <w:spacing w:line="440" w:lineRule="exact"/>
        <w:ind w:firstLine="241" w:firstLineChars="100"/>
        <w:rPr>
          <w:rFonts w:hint="eastAsia"/>
          <w:b/>
          <w:bCs/>
          <w:sz w:val="24"/>
          <w:lang w:val="en-US" w:eastAsia="zh-CN"/>
        </w:rPr>
      </w:pPr>
      <w:r>
        <w:rPr>
          <w:rFonts w:hint="eastAsia"/>
          <w:b/>
          <w:bCs/>
          <w:sz w:val="24"/>
          <w:lang w:val="en-US" w:eastAsia="zh-CN"/>
        </w:rPr>
        <w:t>第一包：</w:t>
      </w:r>
    </w:p>
    <w:tbl>
      <w:tblPr>
        <w:tblStyle w:val="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57" w:type="dxa"/>
            <w:gridSpan w:val="2"/>
            <w:noWrap w:val="0"/>
            <w:vAlign w:val="top"/>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名称：血栓弹力图仪配套试剂</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规格型号:深圳沃德生命ITEG2+</w:t>
            </w:r>
            <w:r>
              <w:rPr>
                <w:rFonts w:hint="eastAsia" w:ascii="宋体" w:hAnsi="宋体" w:cs="宋体"/>
                <w:sz w:val="24"/>
                <w:szCs w:val="24"/>
                <w:lang w:val="en-US" w:eastAsia="zh-CN"/>
              </w:rPr>
              <w:t>型</w:t>
            </w:r>
            <w:r>
              <w:rPr>
                <w:rFonts w:hint="eastAsia" w:ascii="宋体" w:hAnsi="宋体" w:cs="宋体"/>
                <w:sz w:val="24"/>
                <w:szCs w:val="24"/>
              </w:rPr>
              <w:t>配套试剂</w:t>
            </w:r>
          </w:p>
          <w:p>
            <w:pPr>
              <w:widowControl/>
              <w:spacing w:after="156" w:afterLines="50"/>
              <w:jc w:val="both"/>
              <w:rPr>
                <w:rFonts w:hint="eastAsia" w:ascii="宋体" w:hAnsi="宋体" w:cs="宋体"/>
                <w:sz w:val="24"/>
                <w:szCs w:val="24"/>
              </w:rPr>
            </w:pPr>
            <w:r>
              <w:rPr>
                <w:rFonts w:hint="eastAsia" w:ascii="宋体" w:hAnsi="宋体" w:cs="宋体"/>
                <w:sz w:val="24"/>
                <w:szCs w:val="24"/>
                <w:lang w:val="en-US" w:eastAsia="zh-CN"/>
              </w:rPr>
              <w:t>总体要求：</w:t>
            </w:r>
            <w:r>
              <w:rPr>
                <w:rFonts w:hint="eastAsia" w:ascii="宋体" w:hAnsi="宋体"/>
                <w:color w:val="000000"/>
                <w:sz w:val="24"/>
                <w:szCs w:val="24"/>
                <w:lang w:eastAsia="zh-CN"/>
              </w:rPr>
              <w:t>需引进一款除能</w:t>
            </w:r>
            <w:r>
              <w:rPr>
                <w:rFonts w:hint="eastAsia" w:ascii="宋体" w:hAnsi="宋体"/>
                <w:color w:val="000000"/>
                <w:sz w:val="24"/>
                <w:szCs w:val="24"/>
                <w:lang w:val="en-US" w:eastAsia="zh-CN"/>
              </w:rPr>
              <w:t>满足活化凝血检测和肝素检测，还能进行血小板功能检测需求，</w:t>
            </w:r>
            <w:r>
              <w:rPr>
                <w:rFonts w:hint="eastAsia" w:ascii="宋体" w:hAnsi="宋体"/>
                <w:color w:val="000000"/>
                <w:sz w:val="24"/>
                <w:szCs w:val="24"/>
                <w:lang w:eastAsia="zh-CN"/>
              </w:rPr>
              <w:t>独立包装的</w:t>
            </w:r>
            <w:r>
              <w:rPr>
                <w:rFonts w:hint="eastAsia" w:ascii="宋体" w:hAnsi="宋体" w:cs="宋体"/>
                <w:b w:val="0"/>
                <w:bCs w:val="0"/>
                <w:color w:val="000000"/>
                <w:kern w:val="0"/>
                <w:sz w:val="24"/>
                <w:szCs w:val="24"/>
              </w:rPr>
              <w:t>单人份预分装试剂</w:t>
            </w:r>
            <w:bookmarkStart w:id="0" w:name="_Hlk28359350"/>
            <w:r>
              <w:rPr>
                <w:rFonts w:hint="eastAsia" w:ascii="宋体" w:hAnsi="宋体" w:cs="宋体"/>
                <w:b w:val="0"/>
                <w:bCs w:val="0"/>
                <w:color w:val="000000"/>
                <w:kern w:val="0"/>
                <w:sz w:val="24"/>
                <w:szCs w:val="24"/>
              </w:rPr>
              <w:t>，</w:t>
            </w:r>
            <w:r>
              <w:rPr>
                <w:rFonts w:hint="eastAsia" w:ascii="宋体" w:hAnsi="宋体" w:cs="宋体"/>
                <w:b w:val="0"/>
                <w:bCs w:val="0"/>
                <w:color w:val="000000"/>
                <w:kern w:val="0"/>
                <w:sz w:val="24"/>
                <w:szCs w:val="24"/>
                <w:lang w:eastAsia="zh-CN"/>
              </w:rPr>
              <w:t>可</w:t>
            </w:r>
            <w:r>
              <w:rPr>
                <w:rFonts w:hint="eastAsia" w:ascii="宋体" w:hAnsi="宋体" w:cs="宋体"/>
                <w:b w:val="0"/>
                <w:bCs w:val="0"/>
                <w:color w:val="000000"/>
                <w:kern w:val="0"/>
                <w:sz w:val="24"/>
                <w:szCs w:val="24"/>
              </w:rPr>
              <w:t>避免污染和浪费</w:t>
            </w:r>
            <w:bookmarkEnd w:id="0"/>
            <w:r>
              <w:rPr>
                <w:rFonts w:hint="eastAsia" w:ascii="宋体" w:hAnsi="宋体"/>
                <w:color w:val="000000"/>
                <w:sz w:val="24"/>
                <w:szCs w:val="24"/>
                <w:lang w:eastAsia="zh-CN"/>
              </w:rPr>
              <w:t>、易保存、室内质控稳定的检测试剂。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1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具体参数要求</w:t>
            </w:r>
          </w:p>
        </w:tc>
        <w:tc>
          <w:tcPr>
            <w:tcW w:w="8341" w:type="dxa"/>
            <w:noWrap w:val="0"/>
            <w:vAlign w:val="center"/>
          </w:tcPr>
          <w:p>
            <w:pPr>
              <w:widowControl/>
              <w:numPr>
                <w:ilvl w:val="0"/>
                <w:numId w:val="0"/>
              </w:numPr>
              <w:jc w:val="left"/>
              <w:rPr>
                <w:rFonts w:hint="eastAsia" w:ascii="宋体" w:hAnsi="宋体" w:eastAsia="宋体" w:cs="宋体"/>
                <w:b/>
                <w:bCs/>
                <w:color w:val="000000"/>
                <w:kern w:val="0"/>
                <w:sz w:val="2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color w:val="000000"/>
                <w:sz w:val="24"/>
                <w:szCs w:val="28"/>
              </w:rPr>
            </w:pPr>
            <w:r>
              <w:rPr>
                <w:rFonts w:hint="eastAsia"/>
                <w:color w:val="000000"/>
                <w:sz w:val="24"/>
                <w:szCs w:val="28"/>
              </w:rPr>
              <w:t>试剂检测方法：凝固法；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★试剂封装：单人份试剂卡，即开即用，无开瓶有效期，同时可避免试剂交叉污染和试剂浪费；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★试剂复溶：由于试剂卡的巧妙设计，含有冻干粉的试剂仪器内部自动完成复溶，无需任何人工操作，提高测试结果准确度；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测试项目：活化凝血（普通杯）检测，凝血激活（快速杯）检测，肝素（肝素对比实验）检测，功能性纤维蛋白原检测，血小板-AA 及 ADP 检测，血小板-AA检测，血小板-ADP检测，共7个项目，测试项目十分齐全；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活化凝血检测试剂：活化凝血检测试剂MA的变异系数(CV)≤9%，支持2-8℃下冷链运输，储存有效期限不低于24个月；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凝血激活试剂：具备含有高岭土和组织因子两种成分的凝血激活试剂的快速检测，TEG ACT正常值不超过2分钟，支持2-8℃下冷链运输，储存有效期限不低于15个月；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功能纤维蛋白原检测试剂：</w:t>
            </w:r>
            <w:r>
              <w:rPr>
                <w:rFonts w:hint="eastAsia" w:ascii="宋体" w:hAnsi="宋体" w:cs="宋体"/>
                <w:color w:val="000000"/>
                <w:sz w:val="24"/>
                <w:szCs w:val="28"/>
              </w:rPr>
              <w:t>具有能够检测功能性纤维蛋白原含量的试剂，该试剂需包含凝血因子、血小板GPⅡb/Ⅲa受体拮抗剂两种成分，功能性纤维蛋白原的测试结果变异系数(CV) ≤9%，</w:t>
            </w:r>
            <w:r>
              <w:rPr>
                <w:rFonts w:hint="eastAsia"/>
                <w:color w:val="000000"/>
                <w:sz w:val="24"/>
                <w:szCs w:val="28"/>
              </w:rPr>
              <w:t>支持2-8℃下冷链运输、储存，储存</w:t>
            </w:r>
            <w:r>
              <w:rPr>
                <w:rFonts w:hint="eastAsia" w:ascii="宋体" w:hAnsi="宋体" w:cs="宋体"/>
                <w:color w:val="000000"/>
                <w:sz w:val="24"/>
                <w:szCs w:val="28"/>
              </w:rPr>
              <w:t>有效期限</w:t>
            </w:r>
            <w:r>
              <w:rPr>
                <w:rFonts w:hint="eastAsia"/>
                <w:color w:val="000000"/>
                <w:sz w:val="24"/>
                <w:szCs w:val="28"/>
              </w:rPr>
              <w:t>不低于15个月；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肝素检测试剂：能检测各种肝素的使用效果，能使用肝素酶杯进行肝素对比排除试验，指导鱼精蛋白的使用，支持2-8℃下冷链运输、储存，储存</w:t>
            </w:r>
            <w:r>
              <w:rPr>
                <w:rFonts w:hint="eastAsia" w:ascii="宋体" w:hAnsi="宋体" w:cs="宋体"/>
                <w:color w:val="000000"/>
                <w:sz w:val="24"/>
                <w:szCs w:val="28"/>
              </w:rPr>
              <w:t>有效期限</w:t>
            </w:r>
            <w:r>
              <w:rPr>
                <w:rFonts w:hint="eastAsia"/>
                <w:color w:val="000000"/>
                <w:sz w:val="24"/>
                <w:szCs w:val="28"/>
              </w:rPr>
              <w:t>不低于15个月；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血小板—AA及ADP试剂：具有二磷酸腺苷通路及花生四烯酸通路特异性激活剂的血小板图检测项目，能定量评估包括氯吡格雷、阿司匹林在内的抗血小板药物疗效，自动算出AA、ADP受体通道的抑制率（AA%、ADP%），血小板图ADP%和AA%（抑制率）的变异系数(CV)≤9%，有效期限不低于15个月，支持2-8℃下冷链运输、储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血小板—AA试剂：具有花生四烯酸通路特异性激活剂的血小板图检测项目，能定量评估包括阿司匹林等抗血小板药物疗效，自动算出AA受体通道的抑制率（AA%），血小板图AA%（抑制率）的变异系数(CV)≤9%，有效期限不低于12个月，支持2-8℃下冷链运输、储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血小板ADP试剂：具有二磷酸腺苷通路特异性激活剂的血小板图检测项目，能定量评估包括氯吡格雷等抗血小板药物疗效，自动算出ADP受体通道的抑制率ADP%），血小板图ADP%（抑制率）的变异系数(CV)≤9%，有效期限不低于12个月，支持2-8℃下冷链运输、储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color w:val="000000"/>
                <w:sz w:val="24"/>
                <w:szCs w:val="28"/>
              </w:rPr>
            </w:pPr>
            <w:r>
              <w:rPr>
                <w:rFonts w:hint="eastAsia"/>
                <w:color w:val="000000"/>
                <w:sz w:val="24"/>
                <w:szCs w:val="28"/>
              </w:rPr>
              <w:t>★</w:t>
            </w:r>
            <w:r>
              <w:rPr>
                <w:color w:val="000000"/>
                <w:sz w:val="24"/>
                <w:szCs w:val="28"/>
              </w:rPr>
              <w:t>质控品：可提供配套的、在药监局注册的高、中、低值全套质控品预分装试剂卡</w:t>
            </w:r>
            <w:r>
              <w:rPr>
                <w:rFonts w:hint="eastAsia"/>
                <w:color w:val="000000"/>
                <w:sz w:val="24"/>
                <w:szCs w:val="28"/>
              </w:rPr>
              <w:t>。</w:t>
            </w:r>
          </w:p>
          <w:p>
            <w:pPr>
              <w:widowControl/>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带</w:t>
            </w:r>
            <w:r>
              <w:rPr>
                <w:rFonts w:hint="eastAsia"/>
                <w:color w:val="000000"/>
                <w:sz w:val="24"/>
                <w:szCs w:val="28"/>
              </w:rPr>
              <w:t>★</w:t>
            </w:r>
            <w:r>
              <w:rPr>
                <w:rFonts w:hint="eastAsia"/>
                <w:color w:val="000000"/>
                <w:sz w:val="24"/>
                <w:szCs w:val="28"/>
                <w:lang w:val="en-US" w:eastAsia="zh-CN"/>
              </w:rPr>
              <w:t>的为重要参数</w:t>
            </w:r>
          </w:p>
        </w:tc>
      </w:tr>
    </w:tbl>
    <w:p>
      <w:pPr>
        <w:spacing w:line="440" w:lineRule="exact"/>
        <w:rPr>
          <w:rFonts w:hint="eastAsia"/>
          <w:b/>
          <w:bCs/>
          <w:sz w:val="24"/>
          <w:lang w:val="en-US" w:eastAsia="zh-CN"/>
        </w:rPr>
      </w:pPr>
    </w:p>
    <w:p>
      <w:pPr>
        <w:spacing w:line="440" w:lineRule="exact"/>
        <w:rPr>
          <w:rFonts w:hint="eastAsia"/>
          <w:b/>
          <w:bCs/>
          <w:sz w:val="24"/>
          <w:lang w:val="en-US" w:eastAsia="zh-CN"/>
        </w:rPr>
      </w:pPr>
    </w:p>
    <w:p>
      <w:pPr>
        <w:spacing w:line="440" w:lineRule="exact"/>
        <w:ind w:firstLine="241" w:firstLineChars="100"/>
        <w:rPr>
          <w:rFonts w:hint="default"/>
          <w:b/>
          <w:bCs/>
          <w:sz w:val="24"/>
          <w:lang w:val="en-US" w:eastAsia="zh-CN"/>
        </w:rPr>
      </w:pPr>
      <w:r>
        <w:rPr>
          <w:rFonts w:hint="eastAsia"/>
          <w:b/>
          <w:bCs/>
          <w:sz w:val="24"/>
          <w:lang w:val="en-US" w:eastAsia="zh-CN"/>
        </w:rPr>
        <w:t>第二包：</w:t>
      </w:r>
    </w:p>
    <w:tbl>
      <w:tblPr>
        <w:tblStyle w:val="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637" w:type="dxa"/>
            <w:vAlign w:val="center"/>
          </w:tcPr>
          <w:p>
            <w:pPr>
              <w:spacing w:line="440" w:lineRule="exact"/>
              <w:jc w:val="center"/>
              <w:rPr>
                <w:rFonts w:hint="default"/>
                <w:b/>
                <w:bCs/>
                <w:sz w:val="24"/>
                <w:vertAlign w:val="baseline"/>
                <w:lang w:val="en-US" w:eastAsia="zh-CN"/>
              </w:rPr>
            </w:pPr>
            <w:r>
              <w:rPr>
                <w:rFonts w:hint="eastAsia"/>
                <w:color w:val="000000"/>
                <w:sz w:val="24"/>
                <w:szCs w:val="28"/>
                <w:lang w:val="en-US" w:eastAsia="zh-CN"/>
              </w:rPr>
              <w:t>名称</w:t>
            </w:r>
          </w:p>
        </w:tc>
        <w:tc>
          <w:tcPr>
            <w:tcW w:w="4680" w:type="dxa"/>
            <w:vAlign w:val="center"/>
          </w:tcPr>
          <w:p>
            <w:pPr>
              <w:spacing w:line="440" w:lineRule="exact"/>
              <w:jc w:val="center"/>
              <w:rPr>
                <w:rFonts w:hint="default"/>
                <w:b/>
                <w:bCs/>
                <w:sz w:val="24"/>
                <w:vertAlign w:val="baseline"/>
                <w:lang w:val="en-US" w:eastAsia="zh-CN"/>
              </w:rPr>
            </w:pPr>
            <w:r>
              <w:rPr>
                <w:rFonts w:hint="eastAsia"/>
                <w:b/>
                <w:bCs/>
                <w:sz w:val="24"/>
                <w:vertAlign w:val="baseline"/>
                <w:lang w:val="en-US" w:eastAsia="zh-CN"/>
              </w:rPr>
              <w:t>产品达到的效果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37" w:type="dxa"/>
            <w:vAlign w:val="center"/>
          </w:tcPr>
          <w:p>
            <w:pPr>
              <w:spacing w:line="440" w:lineRule="exact"/>
              <w:jc w:val="both"/>
              <w:rPr>
                <w:rFonts w:hint="default"/>
                <w:sz w:val="24"/>
                <w:lang w:val="en-US" w:eastAsia="zh-CN"/>
              </w:rPr>
            </w:pPr>
            <w:r>
              <w:rPr>
                <w:rFonts w:hint="default"/>
                <w:sz w:val="24"/>
                <w:lang w:val="en-US" w:eastAsia="zh-CN"/>
              </w:rPr>
              <w:t>医用吸氧面罩（开放面罩式鼻氧管）</w:t>
            </w:r>
          </w:p>
        </w:tc>
        <w:tc>
          <w:tcPr>
            <w:tcW w:w="4680" w:type="dxa"/>
            <w:vAlign w:val="center"/>
          </w:tcPr>
          <w:p>
            <w:pPr>
              <w:numPr>
                <w:ilvl w:val="0"/>
                <w:numId w:val="0"/>
              </w:numPr>
              <w:spacing w:line="440" w:lineRule="exact"/>
              <w:jc w:val="both"/>
              <w:rPr>
                <w:rFonts w:hint="default"/>
                <w:sz w:val="24"/>
                <w:lang w:val="en-US" w:eastAsia="zh-CN"/>
              </w:rPr>
            </w:pPr>
            <w:r>
              <w:rPr>
                <w:rFonts w:hint="eastAsia"/>
                <w:sz w:val="24"/>
                <w:lang w:val="en-US" w:eastAsia="zh-CN"/>
              </w:rPr>
              <w:t>1.</w:t>
            </w:r>
            <w:r>
              <w:rPr>
                <w:rFonts w:hint="default"/>
                <w:sz w:val="24"/>
                <w:lang w:val="en-US" w:eastAsia="zh-CN"/>
              </w:rPr>
              <w:t>开放式设计，无需湿化瓶</w:t>
            </w:r>
          </w:p>
          <w:p>
            <w:pPr>
              <w:numPr>
                <w:ilvl w:val="0"/>
                <w:numId w:val="0"/>
              </w:numPr>
              <w:spacing w:line="440" w:lineRule="exact"/>
              <w:jc w:val="both"/>
              <w:rPr>
                <w:rFonts w:hint="default"/>
                <w:sz w:val="24"/>
                <w:lang w:val="en-US" w:eastAsia="zh-CN"/>
              </w:rPr>
            </w:pPr>
            <w:r>
              <w:rPr>
                <w:rFonts w:hint="eastAsia"/>
                <w:sz w:val="24"/>
                <w:lang w:val="en-US" w:eastAsia="zh-CN"/>
              </w:rPr>
              <w:t>2.</w:t>
            </w:r>
            <w:r>
              <w:rPr>
                <w:rFonts w:hint="default"/>
                <w:sz w:val="24"/>
                <w:lang w:val="en-US" w:eastAsia="zh-CN"/>
              </w:rPr>
              <w:t>可提供24-90%供氧浓度，满足不同患者不同治疗阶段的需求</w:t>
            </w:r>
          </w:p>
          <w:p>
            <w:pPr>
              <w:numPr>
                <w:ilvl w:val="0"/>
                <w:numId w:val="0"/>
              </w:numPr>
              <w:spacing w:line="440" w:lineRule="exact"/>
              <w:jc w:val="both"/>
              <w:rPr>
                <w:rFonts w:hint="default"/>
                <w:sz w:val="24"/>
                <w:lang w:val="en-US" w:eastAsia="zh-CN"/>
              </w:rPr>
            </w:pPr>
            <w:r>
              <w:rPr>
                <w:rFonts w:hint="eastAsia"/>
                <w:sz w:val="24"/>
                <w:lang w:val="en-US" w:eastAsia="zh-CN"/>
              </w:rPr>
              <w:t>3.降低二氧化碳再吸入，二氧化碳清楚率更高。</w:t>
            </w:r>
          </w:p>
          <w:p>
            <w:pPr>
              <w:numPr>
                <w:ilvl w:val="0"/>
                <w:numId w:val="0"/>
              </w:numPr>
              <w:spacing w:line="440" w:lineRule="exact"/>
              <w:jc w:val="both"/>
              <w:rPr>
                <w:rFonts w:hint="default"/>
                <w:sz w:val="24"/>
                <w:lang w:val="en-US" w:eastAsia="zh-CN"/>
              </w:rPr>
            </w:pPr>
            <w:r>
              <w:rPr>
                <w:rFonts w:hint="eastAsia"/>
                <w:sz w:val="24"/>
                <w:lang w:val="en-US" w:eastAsia="zh-CN"/>
              </w:rPr>
              <w:t>4.患者佩戴良好，根除幽闭恐惧症，减少焦虑和氧耗。</w:t>
            </w:r>
          </w:p>
        </w:tc>
      </w:tr>
    </w:tbl>
    <w:p>
      <w:pPr>
        <w:spacing w:line="440" w:lineRule="exact"/>
        <w:ind w:firstLine="241" w:firstLineChars="100"/>
        <w:rPr>
          <w:rFonts w:hint="default"/>
          <w:b/>
          <w:bCs/>
          <w:sz w:val="24"/>
          <w:lang w:val="en-US" w:eastAsia="zh-CN"/>
        </w:rPr>
      </w:pPr>
    </w:p>
    <w:p>
      <w:pPr>
        <w:spacing w:line="440" w:lineRule="exact"/>
        <w:ind w:firstLine="241" w:firstLineChars="100"/>
        <w:rPr>
          <w:rFonts w:hint="eastAsia"/>
          <w:b/>
          <w:bCs/>
          <w:sz w:val="24"/>
          <w:lang w:val="en-US" w:eastAsia="zh-CN"/>
        </w:rPr>
      </w:pPr>
    </w:p>
    <w:p>
      <w:pPr>
        <w:spacing w:line="440" w:lineRule="exact"/>
        <w:rPr>
          <w:rFonts w:hint="eastAsia"/>
          <w:b/>
          <w:bCs/>
          <w:sz w:val="24"/>
          <w:lang w:val="en-US" w:eastAsia="zh-CN"/>
        </w:rPr>
      </w:pPr>
    </w:p>
    <w:p>
      <w:pPr>
        <w:spacing w:line="440" w:lineRule="exact"/>
        <w:ind w:firstLine="241" w:firstLineChars="100"/>
        <w:rPr>
          <w:rFonts w:hint="eastAsia"/>
          <w:b/>
          <w:bCs/>
          <w:sz w:val="24"/>
          <w:lang w:val="en-US" w:eastAsia="zh-CN"/>
        </w:rPr>
      </w:pPr>
      <w:r>
        <w:rPr>
          <w:rFonts w:hint="eastAsia"/>
          <w:b/>
          <w:bCs/>
          <w:sz w:val="24"/>
          <w:lang w:val="en-US" w:eastAsia="zh-CN"/>
        </w:rPr>
        <w:t>第三包：</w:t>
      </w:r>
    </w:p>
    <w:tbl>
      <w:tblPr>
        <w:tblStyle w:val="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637" w:type="dxa"/>
            <w:vAlign w:val="center"/>
          </w:tcPr>
          <w:p>
            <w:pPr>
              <w:spacing w:line="440" w:lineRule="exact"/>
              <w:jc w:val="center"/>
              <w:rPr>
                <w:rFonts w:hint="default"/>
                <w:b/>
                <w:bCs/>
                <w:sz w:val="24"/>
                <w:vertAlign w:val="baseline"/>
                <w:lang w:val="en-US" w:eastAsia="zh-CN"/>
              </w:rPr>
            </w:pPr>
            <w:r>
              <w:rPr>
                <w:rFonts w:hint="eastAsia"/>
                <w:color w:val="000000"/>
                <w:sz w:val="24"/>
                <w:szCs w:val="28"/>
                <w:lang w:val="en-US" w:eastAsia="zh-CN"/>
              </w:rPr>
              <w:t>名称</w:t>
            </w:r>
          </w:p>
        </w:tc>
        <w:tc>
          <w:tcPr>
            <w:tcW w:w="4680" w:type="dxa"/>
            <w:vAlign w:val="center"/>
          </w:tcPr>
          <w:p>
            <w:pPr>
              <w:spacing w:line="440" w:lineRule="exact"/>
              <w:jc w:val="center"/>
              <w:rPr>
                <w:rFonts w:hint="default"/>
                <w:b/>
                <w:bCs/>
                <w:sz w:val="24"/>
                <w:vertAlign w:val="baseline"/>
                <w:lang w:val="en-US" w:eastAsia="zh-CN"/>
              </w:rPr>
            </w:pPr>
            <w:r>
              <w:rPr>
                <w:rFonts w:hint="eastAsia"/>
                <w:b/>
                <w:bCs/>
                <w:sz w:val="24"/>
                <w:vertAlign w:val="baseline"/>
                <w:lang w:val="en-US" w:eastAsia="zh-CN"/>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37" w:type="dxa"/>
            <w:vAlign w:val="center"/>
          </w:tcPr>
          <w:p>
            <w:pPr>
              <w:spacing w:line="440" w:lineRule="exact"/>
              <w:jc w:val="both"/>
              <w:rPr>
                <w:rFonts w:hint="default"/>
                <w:sz w:val="24"/>
                <w:lang w:val="en-US" w:eastAsia="zh-CN"/>
              </w:rPr>
            </w:pPr>
            <w:r>
              <w:rPr>
                <w:rFonts w:hint="eastAsia"/>
                <w:sz w:val="24"/>
                <w:lang w:val="en-US" w:eastAsia="zh-CN"/>
              </w:rPr>
              <w:t>血液净化处理装置的体外循环管路</w:t>
            </w:r>
          </w:p>
        </w:tc>
        <w:tc>
          <w:tcPr>
            <w:tcW w:w="4680" w:type="dxa"/>
            <w:vAlign w:val="center"/>
          </w:tcPr>
          <w:p>
            <w:pPr>
              <w:numPr>
                <w:ilvl w:val="0"/>
                <w:numId w:val="0"/>
              </w:numPr>
              <w:spacing w:line="440" w:lineRule="exact"/>
              <w:jc w:val="both"/>
              <w:rPr>
                <w:rFonts w:hint="default"/>
                <w:sz w:val="24"/>
                <w:lang w:val="en-US" w:eastAsia="zh-CN"/>
              </w:rPr>
            </w:pPr>
            <w:r>
              <w:rPr>
                <w:rFonts w:hint="eastAsia"/>
                <w:sz w:val="24"/>
                <w:lang w:val="en-US" w:eastAsia="zh-CN"/>
              </w:rPr>
              <w:t>必须满足双监测+废液袋+输液器</w:t>
            </w:r>
          </w:p>
        </w:tc>
      </w:tr>
    </w:tbl>
    <w:p>
      <w:pPr>
        <w:spacing w:line="440" w:lineRule="exact"/>
        <w:ind w:firstLine="241" w:firstLineChars="100"/>
        <w:rPr>
          <w:rFonts w:hint="eastAsia"/>
          <w:b/>
          <w:bCs/>
          <w:sz w:val="24"/>
          <w:lang w:val="en-US" w:eastAsia="zh-CN"/>
        </w:rPr>
      </w:pPr>
    </w:p>
    <w:p>
      <w:pPr>
        <w:spacing w:line="440" w:lineRule="exact"/>
        <w:ind w:firstLine="241" w:firstLineChars="100"/>
        <w:rPr>
          <w:rFonts w:hint="eastAsia"/>
          <w:b/>
          <w:bCs/>
          <w:sz w:val="24"/>
          <w:lang w:val="en-US" w:eastAsia="zh-CN"/>
        </w:rPr>
      </w:pPr>
      <w:r>
        <w:rPr>
          <w:rFonts w:hint="eastAsia"/>
          <w:b/>
          <w:bCs/>
          <w:sz w:val="24"/>
          <w:lang w:val="en-US" w:eastAsia="zh-CN"/>
        </w:rPr>
        <w:t>第四包：</w:t>
      </w:r>
    </w:p>
    <w:tbl>
      <w:tblPr>
        <w:tblStyle w:val="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4637" w:type="dxa"/>
            <w:vAlign w:val="center"/>
          </w:tcPr>
          <w:p>
            <w:pPr>
              <w:spacing w:line="440" w:lineRule="exact"/>
              <w:jc w:val="center"/>
              <w:rPr>
                <w:rFonts w:hint="default"/>
                <w:b/>
                <w:bCs/>
                <w:sz w:val="24"/>
                <w:vertAlign w:val="baseline"/>
                <w:lang w:val="en-US" w:eastAsia="zh-CN"/>
              </w:rPr>
            </w:pPr>
            <w:r>
              <w:rPr>
                <w:rFonts w:hint="eastAsia"/>
                <w:color w:val="000000"/>
                <w:sz w:val="24"/>
                <w:szCs w:val="28"/>
                <w:lang w:val="en-US" w:eastAsia="zh-CN"/>
              </w:rPr>
              <w:t>名称</w:t>
            </w:r>
          </w:p>
        </w:tc>
        <w:tc>
          <w:tcPr>
            <w:tcW w:w="4680" w:type="dxa"/>
            <w:vAlign w:val="center"/>
          </w:tcPr>
          <w:p>
            <w:pPr>
              <w:spacing w:line="440" w:lineRule="exact"/>
              <w:jc w:val="center"/>
              <w:rPr>
                <w:rFonts w:hint="default"/>
                <w:b/>
                <w:bCs/>
                <w:sz w:val="24"/>
                <w:vertAlign w:val="baseline"/>
                <w:lang w:val="en-US" w:eastAsia="zh-CN"/>
              </w:rPr>
            </w:pPr>
            <w:r>
              <w:rPr>
                <w:rFonts w:hint="eastAsia"/>
                <w:b/>
                <w:bCs/>
                <w:sz w:val="24"/>
                <w:vertAlign w:val="baseline"/>
                <w:lang w:val="en-US" w:eastAsia="zh-CN"/>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37" w:type="dxa"/>
            <w:vAlign w:val="center"/>
          </w:tcPr>
          <w:p>
            <w:pPr>
              <w:spacing w:line="440" w:lineRule="exact"/>
              <w:jc w:val="both"/>
              <w:rPr>
                <w:rFonts w:hint="default"/>
                <w:sz w:val="24"/>
                <w:lang w:val="en-US" w:eastAsia="zh-CN"/>
              </w:rPr>
            </w:pPr>
            <w:r>
              <w:rPr>
                <w:rFonts w:hint="eastAsia"/>
                <w:sz w:val="24"/>
                <w:lang w:val="en-US" w:eastAsia="zh-CN"/>
              </w:rPr>
              <w:t>胰岛素注射笔针头</w:t>
            </w:r>
          </w:p>
        </w:tc>
        <w:tc>
          <w:tcPr>
            <w:tcW w:w="4680" w:type="dxa"/>
            <w:vAlign w:val="center"/>
          </w:tcPr>
          <w:p>
            <w:pPr>
              <w:numPr>
                <w:ilvl w:val="0"/>
                <w:numId w:val="0"/>
              </w:numPr>
              <w:spacing w:line="440" w:lineRule="exact"/>
              <w:jc w:val="both"/>
              <w:rPr>
                <w:rFonts w:hint="default"/>
                <w:sz w:val="24"/>
                <w:lang w:val="en-US" w:eastAsia="zh-CN"/>
              </w:rPr>
            </w:pPr>
            <w:r>
              <w:rPr>
                <w:rFonts w:hint="eastAsia"/>
                <w:sz w:val="24"/>
                <w:lang w:val="en-US" w:eastAsia="zh-CN"/>
              </w:rPr>
              <w:t>针头5mm，限价1.8元/支</w:t>
            </w:r>
          </w:p>
        </w:tc>
      </w:tr>
    </w:tbl>
    <w:p>
      <w:pPr>
        <w:spacing w:line="440" w:lineRule="exact"/>
        <w:ind w:firstLine="241" w:firstLineChars="100"/>
        <w:rPr>
          <w:rFonts w:hint="default"/>
          <w:b/>
          <w:bCs/>
          <w:sz w:val="24"/>
          <w:lang w:val="en-US" w:eastAsia="zh-CN"/>
        </w:rPr>
      </w:pPr>
    </w:p>
    <w:p>
      <w:pPr>
        <w:spacing w:line="440" w:lineRule="exact"/>
        <w:ind w:firstLine="241" w:firstLineChars="100"/>
        <w:rPr>
          <w:rFonts w:hint="default"/>
          <w:b/>
          <w:bCs/>
          <w:sz w:val="24"/>
          <w:lang w:val="en-US" w:eastAsia="zh-CN"/>
        </w:rPr>
      </w:pPr>
      <w:r>
        <w:rPr>
          <w:rFonts w:hint="eastAsia"/>
          <w:b/>
          <w:bCs/>
          <w:sz w:val="24"/>
          <w:lang w:val="en-US" w:eastAsia="zh-CN"/>
        </w:rPr>
        <w:t>第五包：</w:t>
      </w:r>
      <w:bookmarkStart w:id="1" w:name="_GoBack"/>
      <w:bookmarkEnd w:id="1"/>
    </w:p>
    <w:tbl>
      <w:tblPr>
        <w:tblStyle w:val="7"/>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4"/>
        <w:gridCol w:w="1155"/>
        <w:gridCol w:w="1695"/>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膀胱镜异物钳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2"/>
                <w:sz w:val="24"/>
                <w:szCs w:val="24"/>
              </w:rPr>
              <w:t>适配用于狼牌</w:t>
            </w:r>
            <w:r>
              <w:rPr>
                <w:rFonts w:hint="eastAsia" w:ascii="宋体" w:hAnsi="宋体" w:eastAsia="宋体" w:cs="宋体"/>
                <w:kern w:val="2"/>
                <w:sz w:val="24"/>
                <w:szCs w:val="24"/>
                <w:lang w:val="en-US" w:eastAsia="zh-CN"/>
              </w:rPr>
              <w:t>和奥林巴斯</w:t>
            </w:r>
            <w:r>
              <w:rPr>
                <w:rFonts w:hint="eastAsia" w:ascii="宋体" w:hAnsi="宋体" w:eastAsia="宋体" w:cs="宋体"/>
                <w:sz w:val="24"/>
                <w:szCs w:val="24"/>
              </w:rPr>
              <w:t>膀胱镜</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直径：≤2mm,长度：400mm±10mm，钳头张开度：≥45°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膀胱镜活检钳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输尿管镜异物钳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2"/>
                <w:sz w:val="24"/>
                <w:szCs w:val="24"/>
              </w:rPr>
              <w:t>适配用于狼牌小儿输尿管镜</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直径：≤4Fr,长度：600mm±10mm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输尿管镜活检钳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冲洗泵管路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适配于成都新兴公司制造的冲洗吸引泵。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3" w:hRule="atLeast"/>
        </w:trPr>
        <w:tc>
          <w:tcPr>
            <w:tcW w:w="9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rPr>
            </w:pPr>
            <w:r>
              <w:rPr>
                <w:rFonts w:hint="eastAsia" w:ascii="宋体" w:hAnsi="宋体" w:eastAsia="宋体" w:cs="宋体"/>
                <w:sz w:val="24"/>
                <w:szCs w:val="24"/>
                <w:lang w:val="en-US" w:eastAsia="zh-CN"/>
              </w:rPr>
              <w:t>备注：第</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包所以器材，必须与医院现用设备器械相匹配使用。</w:t>
            </w:r>
            <w:r>
              <w:rPr>
                <w:rFonts w:hint="eastAsia" w:ascii="宋体" w:hAnsi="宋体" w:eastAsia="宋体" w:cs="宋体"/>
                <w:sz w:val="24"/>
                <w:szCs w:val="24"/>
              </w:rPr>
              <w:t>钳头经热处理，其硬度为350HV0.2~535 HV0.2。</w:t>
            </w:r>
            <w:r>
              <w:rPr>
                <w:rFonts w:hint="eastAsia" w:ascii="宋体" w:hAnsi="宋体" w:eastAsia="宋体" w:cs="宋体"/>
                <w:color w:val="000000"/>
                <w:sz w:val="24"/>
                <w:szCs w:val="24"/>
              </w:rPr>
              <w:t>钳头开闭轻松灵活，无卡塞现象。钳头闭合时吻合，无错口和偏歪现象。</w:t>
            </w:r>
            <w:r>
              <w:rPr>
                <w:rFonts w:hint="eastAsia" w:ascii="宋体" w:hAnsi="宋体" w:eastAsia="宋体" w:cs="宋体"/>
                <w:sz w:val="24"/>
                <w:szCs w:val="24"/>
              </w:rPr>
              <w:t>活检钳刃口锋利，具有良好的咬切性能。活检抓钳及异物钳的夹持力，不小于12N，能抓牢组织及钳取异物。</w:t>
            </w:r>
            <w:r>
              <w:rPr>
                <w:rFonts w:hint="eastAsia" w:ascii="宋体" w:hAnsi="宋体" w:eastAsia="宋体" w:cs="宋体"/>
                <w:color w:val="000000"/>
                <w:sz w:val="24"/>
                <w:szCs w:val="24"/>
                <w:lang w:val="en-US" w:eastAsia="zh-CN"/>
              </w:rPr>
              <w:t>器械</w:t>
            </w:r>
            <w:r>
              <w:rPr>
                <w:rFonts w:hint="eastAsia" w:ascii="宋体" w:hAnsi="宋体" w:eastAsia="宋体" w:cs="宋体"/>
                <w:color w:val="000000"/>
                <w:sz w:val="24"/>
                <w:szCs w:val="24"/>
              </w:rPr>
              <w:t>各部位的表面粗糙度Ra之值</w:t>
            </w:r>
            <w:r>
              <w:rPr>
                <w:rFonts w:hint="eastAsia" w:ascii="宋体" w:hAnsi="宋体" w:eastAsia="宋体" w:cs="宋体"/>
                <w:sz w:val="24"/>
                <w:szCs w:val="24"/>
              </w:rPr>
              <w:t>≤</w:t>
            </w:r>
            <w:r>
              <w:rPr>
                <w:rFonts w:hint="eastAsia" w:ascii="宋体" w:hAnsi="宋体" w:eastAsia="宋体" w:cs="宋体"/>
                <w:color w:val="000000"/>
                <w:sz w:val="24"/>
                <w:szCs w:val="24"/>
              </w:rPr>
              <w:t>0.80μm。</w:t>
            </w:r>
          </w:p>
          <w:p>
            <w:pPr>
              <w:spacing w:line="40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器械的耐腐蚀性能到达YY/T0149-2006中沸水试验法b级的规定。</w:t>
            </w:r>
            <w:r>
              <w:rPr>
                <w:rFonts w:hint="eastAsia" w:ascii="宋体" w:hAnsi="宋体" w:eastAsia="宋体" w:cs="宋体"/>
                <w:sz w:val="24"/>
                <w:szCs w:val="24"/>
              </w:rPr>
              <w:t>钳杆、钳柄</w:t>
            </w:r>
            <w:r>
              <w:rPr>
                <w:rFonts w:hint="eastAsia" w:ascii="宋体" w:hAnsi="宋体" w:eastAsia="宋体" w:cs="宋体"/>
                <w:sz w:val="24"/>
                <w:szCs w:val="24"/>
                <w:lang w:eastAsia="zh-CN"/>
              </w:rPr>
              <w:t>、</w:t>
            </w:r>
            <w:r>
              <w:rPr>
                <w:rFonts w:hint="eastAsia" w:ascii="宋体" w:hAnsi="宋体" w:eastAsia="宋体" w:cs="宋体"/>
                <w:sz w:val="24"/>
                <w:szCs w:val="24"/>
              </w:rPr>
              <w:t>钳头符合</w:t>
            </w:r>
            <w:r>
              <w:rPr>
                <w:rFonts w:hint="eastAsia" w:ascii="宋体" w:hAnsi="宋体" w:eastAsia="宋体" w:cs="宋体"/>
                <w:sz w:val="24"/>
                <w:szCs w:val="24"/>
                <w:lang w:val="en-US" w:eastAsia="zh-CN"/>
              </w:rPr>
              <w:t>的不锈钢符合国家对医疗器械相关标准</w:t>
            </w:r>
            <w:r>
              <w:rPr>
                <w:rFonts w:hint="eastAsia" w:ascii="宋体" w:hAnsi="宋体" w:eastAsia="宋体" w:cs="宋体"/>
                <w:sz w:val="24"/>
                <w:szCs w:val="24"/>
              </w:rPr>
              <w:t>的要求</w:t>
            </w:r>
          </w:p>
        </w:tc>
      </w:tr>
    </w:tbl>
    <w:p>
      <w:pPr>
        <w:spacing w:line="360" w:lineRule="auto"/>
        <w:rPr>
          <w:rFonts w:hint="eastAsia"/>
          <w:b/>
          <w:bCs/>
          <w:sz w:val="24"/>
          <w:lang w:eastAsia="zh-CN"/>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ascii="宋体" w:hAnsi="宋体" w:eastAsia="宋体" w:cs="宋体"/>
          <w:kern w:val="2"/>
          <w:sz w:val="24"/>
          <w:szCs w:val="24"/>
          <w:lang w:val="en-US" w:eastAsia="zh-CN" w:bidi="ar-SA"/>
        </w:rPr>
        <w:t>报价人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、报价要求</w:t>
      </w:r>
    </w:p>
    <w:p>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报价人对附件各包进行相应单独报价。</w:t>
      </w:r>
      <w:r>
        <w:rPr>
          <w:rFonts w:hint="eastAsia" w:ascii="Times New Roman" w:hAnsi="Times New Roman" w:cs="宋体"/>
          <w:sz w:val="24"/>
          <w:lang w:val="en-US" w:eastAsia="zh-CN"/>
        </w:rPr>
        <w:t>一个包一个密封的报价文件，</w:t>
      </w:r>
      <w:r>
        <w:rPr>
          <w:rFonts w:hint="eastAsia"/>
          <w:sz w:val="24"/>
        </w:rPr>
        <w:t>所报价格应包括货物成本、运输、人工、检测、培训、利润、税金等不可预见措施所有费用。</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3"/>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eastAsia="zh-CN"/>
        </w:rPr>
        <w:t>《</w:t>
      </w:r>
      <w:r>
        <w:rPr>
          <w:rFonts w:hint="eastAsia" w:ascii="Times New Roman" w:hAnsi="Times New Roman" w:cs="宋体"/>
          <w:sz w:val="24"/>
          <w:lang w:eastAsia="zh-CN"/>
        </w:rPr>
        <w:t>药品和医用耗材招采管理系统</w:t>
      </w:r>
      <w:r>
        <w:rPr>
          <w:rFonts w:hint="eastAsia"/>
          <w:sz w:val="24"/>
          <w:lang w:eastAsia="zh-CN"/>
        </w:rPr>
        <w:t>》</w:t>
      </w:r>
      <w:r>
        <w:rPr>
          <w:rFonts w:hint="eastAsia" w:ascii="宋体" w:hAnsi="宋体" w:cs="宋体"/>
          <w:color w:val="000000"/>
          <w:sz w:val="24"/>
        </w:rPr>
        <w:t>挂网</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w:t>
      </w:r>
    </w:p>
    <w:p>
      <w:pPr>
        <w:numPr>
          <w:ilvl w:val="0"/>
          <w:numId w:val="3"/>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3"/>
        </w:numPr>
        <w:spacing w:line="360" w:lineRule="auto"/>
        <w:ind w:firstLine="480" w:firstLineChars="200"/>
        <w:rPr>
          <w:sz w:val="24"/>
        </w:rPr>
      </w:pPr>
      <w:r>
        <w:rPr>
          <w:rFonts w:hint="eastAsia"/>
          <w:sz w:val="24"/>
          <w:lang w:val="en-US" w:eastAsia="zh-CN"/>
        </w:rPr>
        <w:t>报价</w:t>
      </w:r>
      <w:r>
        <w:rPr>
          <w:rFonts w:hint="eastAsia"/>
          <w:sz w:val="24"/>
        </w:rPr>
        <w:t>均以人民币报价，均采用国家法定的计量单位。</w:t>
      </w:r>
    </w:p>
    <w:p>
      <w:pPr>
        <w:numPr>
          <w:ilvl w:val="0"/>
          <w:numId w:val="3"/>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3"/>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在报价文件密封袋封面详细注明所报产品的包号。</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、报价供应商需提交的证明材料</w:t>
      </w:r>
    </w:p>
    <w:p>
      <w:pPr>
        <w:spacing w:line="360" w:lineRule="auto"/>
        <w:rPr>
          <w:sz w:val="24"/>
        </w:rPr>
      </w:pPr>
      <w:r>
        <w:rPr>
          <w:rFonts w:hint="eastAsia"/>
          <w:sz w:val="24"/>
        </w:rPr>
        <w:t xml:space="preserve">    1、第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2、报价公司代表法人授权委托书原件1份；</w:t>
      </w:r>
    </w:p>
    <w:p>
      <w:pPr>
        <w:spacing w:line="360" w:lineRule="auto"/>
        <w:rPr>
          <w:sz w:val="24"/>
        </w:rPr>
      </w:pPr>
      <w:r>
        <w:rPr>
          <w:rFonts w:hint="eastAsia"/>
          <w:sz w:val="24"/>
        </w:rPr>
        <w:t xml:space="preserve">    3、法人代表及受委托人身份证复印件各1份；</w:t>
      </w:r>
    </w:p>
    <w:p>
      <w:pPr>
        <w:spacing w:line="360" w:lineRule="auto"/>
        <w:rPr>
          <w:sz w:val="24"/>
        </w:rPr>
      </w:pPr>
      <w:r>
        <w:rPr>
          <w:rFonts w:hint="eastAsia"/>
          <w:sz w:val="24"/>
        </w:rPr>
        <w:t xml:space="preserve">    4、提供对所报价</w:t>
      </w:r>
      <w:r>
        <w:rPr>
          <w:rFonts w:hint="eastAsia"/>
          <w:sz w:val="24"/>
          <w:lang w:eastAsia="zh-CN"/>
        </w:rPr>
        <w:t>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w:t>
      </w:r>
      <w:r>
        <w:rPr>
          <w:rFonts w:hint="eastAsia" w:ascii="宋体" w:hAnsi="宋体" w:cs="Times New Roman"/>
          <w:kern w:val="0"/>
          <w:sz w:val="24"/>
          <w:lang w:eastAsia="zh-CN"/>
        </w:rPr>
        <w:t>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报价耗材若为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rFonts w:hint="eastAsia" w:eastAsia="宋体"/>
          <w:sz w:val="24"/>
          <w:lang w:val="en-US" w:eastAsia="zh-CN"/>
        </w:rPr>
      </w:pPr>
      <w:r>
        <w:rPr>
          <w:rFonts w:hint="eastAsia"/>
          <w:sz w:val="24"/>
        </w:rPr>
        <w:t>以上材料除要求提供原件的以外，其他资质可提供加盖报价公司鲜章的复印件，并装订成册1份用文件袋密封，</w:t>
      </w:r>
      <w:r>
        <w:rPr>
          <w:rFonts w:hint="eastAsia"/>
          <w:sz w:val="24"/>
          <w:lang w:val="en-US" w:eastAsia="zh-CN"/>
        </w:rPr>
        <w:t>报价文件密封</w:t>
      </w:r>
      <w:r>
        <w:rPr>
          <w:sz w:val="24"/>
        </w:rPr>
        <w:t>袋封面</w:t>
      </w:r>
      <w:r>
        <w:rPr>
          <w:rFonts w:hint="eastAsia"/>
          <w:sz w:val="24"/>
        </w:rPr>
        <w:t>注明报价项目名称、</w:t>
      </w:r>
      <w:r>
        <w:rPr>
          <w:rFonts w:hint="eastAsia"/>
          <w:sz w:val="24"/>
          <w:lang w:val="en-US" w:eastAsia="zh-CN"/>
        </w:rPr>
        <w:t>包号、耗材名称、</w:t>
      </w:r>
      <w:r>
        <w:rPr>
          <w:sz w:val="24"/>
        </w:rPr>
        <w:t>供应商全称、联系人、联系电话。</w:t>
      </w:r>
      <w:r>
        <w:rPr>
          <w:rFonts w:hint="eastAsia"/>
          <w:sz w:val="24"/>
        </w:rPr>
        <w:t>并在密封处加盖报价公司鲜章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人认为该最低报价仍较高，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当报价相同时，首选</w:t>
      </w:r>
      <w:r>
        <w:rPr>
          <w:rFonts w:hint="eastAsia" w:ascii="宋体" w:hAnsi="宋体" w:cs="宋体"/>
          <w:color w:val="auto"/>
          <w:kern w:val="0"/>
          <w:sz w:val="24"/>
          <w:lang w:val="en-US" w:eastAsia="zh-CN"/>
        </w:rPr>
        <w:t>在院供应商</w:t>
      </w:r>
      <w:r>
        <w:rPr>
          <w:rFonts w:hint="eastAsia" w:ascii="宋体" w:hAnsi="宋体" w:cs="宋体"/>
          <w:color w:val="auto"/>
          <w:kern w:val="0"/>
          <w:sz w:val="24"/>
        </w:rPr>
        <w:t>，若</w:t>
      </w:r>
      <w:r>
        <w:rPr>
          <w:rFonts w:hint="eastAsia" w:ascii="宋体" w:hAnsi="宋体" w:cs="宋体"/>
          <w:color w:val="auto"/>
          <w:kern w:val="0"/>
          <w:sz w:val="24"/>
          <w:lang w:val="en-US" w:eastAsia="zh-CN"/>
        </w:rPr>
        <w:t>都为院内供应商，则以季度考核情况确定供应商</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pPr>
        <w:autoSpaceDE w:val="0"/>
        <w:autoSpaceDN w:val="0"/>
        <w:adjustRightIn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7、不属于挂网产品且评审小组认为报价不是最低价，则进行第二次谈判，谈到理想的价格。本次询价供应商不到现场，需要谈判价格电话沟通。</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w:t>
      </w:r>
      <w:r>
        <w:rPr>
          <w:rFonts w:hint="eastAsia" w:ascii="宋体" w:hAnsi="宋体"/>
          <w:b/>
          <w:sz w:val="32"/>
          <w:szCs w:val="32"/>
        </w:rPr>
        <w:t>报价一览表</w:t>
      </w:r>
    </w:p>
    <w:tbl>
      <w:tblPr>
        <w:tblStyle w:val="7"/>
        <w:tblpPr w:leftFromText="180" w:rightFromText="180" w:vertAnchor="text" w:horzAnchor="page" w:tblpX="1575" w:tblpY="111"/>
        <w:tblOverlap w:val="never"/>
        <w:tblW w:w="14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124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94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val="en-US" w:eastAsia="zh-CN"/>
              </w:rPr>
              <w:t>省最高参考价</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联动参考价</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截止上月末加权平均价</w:t>
            </w:r>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报价（元）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所报耗材的价格无红黄区和未处于红黄区填否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rPr>
        <w:t xml:space="preserve">报价供应商：                      </w:t>
      </w:r>
      <w:r>
        <w:rPr>
          <w:rFonts w:hint="eastAsia"/>
          <w:sz w:val="24"/>
          <w:lang w:val="en-US" w:eastAsia="zh-CN"/>
        </w:rPr>
        <w:t xml:space="preserve"> </w:t>
      </w:r>
      <w:r>
        <w:rPr>
          <w:rFonts w:hint="eastAsia"/>
          <w:sz w:val="24"/>
        </w:rPr>
        <w:t>报价人：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1、表格第二行为说明，报价人在填写时删除即可。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的挂网信息、必须真实准确，否则将作为无效报价处理。</w:t>
      </w:r>
    </w:p>
    <w:p>
      <w:pPr>
        <w:ind w:firstLine="360" w:firstLineChars="200"/>
        <w:rPr>
          <w:rFonts w:hint="eastAsia"/>
          <w:sz w:val="18"/>
          <w:szCs w:val="18"/>
        </w:rPr>
      </w:pPr>
      <w:r>
        <w:rPr>
          <w:rFonts w:hint="eastAsia"/>
          <w:sz w:val="18"/>
          <w:szCs w:val="18"/>
        </w:rPr>
        <w:t>4、报价人的报价是该响应项目要求的全部工作内容的价格体现，</w:t>
      </w:r>
      <w:r>
        <w:rPr>
          <w:rFonts w:hint="eastAsia"/>
          <w:sz w:val="18"/>
          <w:szCs w:val="18"/>
          <w:lang w:eastAsia="zh-CN"/>
        </w:rPr>
        <w:t>耗材</w:t>
      </w:r>
      <w:r>
        <w:rPr>
          <w:rFonts w:hint="eastAsia"/>
          <w:sz w:val="18"/>
          <w:szCs w:val="18"/>
        </w:rPr>
        <w:t>配送、验收、质量保证等一切费用，包括但不限于报价人完成本项目所需的费用价格。</w:t>
      </w:r>
    </w:p>
    <w:p>
      <w:pPr>
        <w:ind w:firstLine="360" w:firstLineChars="200"/>
        <w:rPr>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8012A"/>
    <w:multiLevelType w:val="singleLevel"/>
    <w:tmpl w:val="EE98012A"/>
    <w:lvl w:ilvl="0" w:tentative="0">
      <w:start w:val="1"/>
      <w:numFmt w:val="decimal"/>
      <w:suff w:val="nothing"/>
      <w:lvlText w:val="（%1）"/>
      <w:lvlJc w:val="left"/>
    </w:lvl>
  </w:abstractNum>
  <w:abstractNum w:abstractNumId="1">
    <w:nsid w:val="143A6427"/>
    <w:multiLevelType w:val="singleLevel"/>
    <w:tmpl w:val="143A6427"/>
    <w:lvl w:ilvl="0" w:tentative="0">
      <w:start w:val="1"/>
      <w:numFmt w:val="chineseCounting"/>
      <w:suff w:val="nothing"/>
      <w:lvlText w:val="%1、"/>
      <w:lvlJc w:val="left"/>
      <w:rPr>
        <w:rFonts w:hint="eastAsia"/>
      </w:rPr>
    </w:lvl>
  </w:abstractNum>
  <w:abstractNum w:abstractNumId="2">
    <w:nsid w:val="5BD666AB"/>
    <w:multiLevelType w:val="singleLevel"/>
    <w:tmpl w:val="5BD666AB"/>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s>
  <w:rsids>
    <w:rsidRoot w:val="7A9E502A"/>
    <w:rsid w:val="00007B15"/>
    <w:rsid w:val="00016E23"/>
    <w:rsid w:val="00041E63"/>
    <w:rsid w:val="0005280F"/>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827C0"/>
    <w:rsid w:val="010D7DD7"/>
    <w:rsid w:val="012F5F9F"/>
    <w:rsid w:val="01372051"/>
    <w:rsid w:val="014D28C9"/>
    <w:rsid w:val="014F219D"/>
    <w:rsid w:val="0172619A"/>
    <w:rsid w:val="017E1A1D"/>
    <w:rsid w:val="0180045D"/>
    <w:rsid w:val="018E7169"/>
    <w:rsid w:val="018F2EE2"/>
    <w:rsid w:val="01A57582"/>
    <w:rsid w:val="01AE147F"/>
    <w:rsid w:val="01B3097E"/>
    <w:rsid w:val="01BA61B0"/>
    <w:rsid w:val="01DA3DF6"/>
    <w:rsid w:val="01DF5C17"/>
    <w:rsid w:val="01EE7AC5"/>
    <w:rsid w:val="01F11461"/>
    <w:rsid w:val="020F7B7E"/>
    <w:rsid w:val="02201D8C"/>
    <w:rsid w:val="0223031E"/>
    <w:rsid w:val="022D1F83"/>
    <w:rsid w:val="02590923"/>
    <w:rsid w:val="027915F1"/>
    <w:rsid w:val="027F2F56"/>
    <w:rsid w:val="028D3650"/>
    <w:rsid w:val="0293255D"/>
    <w:rsid w:val="02996051"/>
    <w:rsid w:val="02B04EBD"/>
    <w:rsid w:val="02B33676"/>
    <w:rsid w:val="02BC1CEF"/>
    <w:rsid w:val="02DE5ECF"/>
    <w:rsid w:val="03173601"/>
    <w:rsid w:val="03231B33"/>
    <w:rsid w:val="032F1256"/>
    <w:rsid w:val="035717DD"/>
    <w:rsid w:val="03766107"/>
    <w:rsid w:val="03824AAC"/>
    <w:rsid w:val="03A31284"/>
    <w:rsid w:val="03BD5AE4"/>
    <w:rsid w:val="03D177E1"/>
    <w:rsid w:val="03D90444"/>
    <w:rsid w:val="03DD6186"/>
    <w:rsid w:val="041871BE"/>
    <w:rsid w:val="0422003D"/>
    <w:rsid w:val="04243DB5"/>
    <w:rsid w:val="04286A3F"/>
    <w:rsid w:val="04425FE9"/>
    <w:rsid w:val="04426FFE"/>
    <w:rsid w:val="044E0E32"/>
    <w:rsid w:val="045521C0"/>
    <w:rsid w:val="04584026"/>
    <w:rsid w:val="045B52FD"/>
    <w:rsid w:val="045E0996"/>
    <w:rsid w:val="046643CE"/>
    <w:rsid w:val="046B19E4"/>
    <w:rsid w:val="0479041D"/>
    <w:rsid w:val="04B45ADD"/>
    <w:rsid w:val="04B70785"/>
    <w:rsid w:val="04CA646A"/>
    <w:rsid w:val="04EF43C3"/>
    <w:rsid w:val="04FA4B16"/>
    <w:rsid w:val="04FD0162"/>
    <w:rsid w:val="05085485"/>
    <w:rsid w:val="051A3F1D"/>
    <w:rsid w:val="051C683A"/>
    <w:rsid w:val="051D3BF0"/>
    <w:rsid w:val="05467D5B"/>
    <w:rsid w:val="056401E1"/>
    <w:rsid w:val="057C68B8"/>
    <w:rsid w:val="058B39C0"/>
    <w:rsid w:val="059712B5"/>
    <w:rsid w:val="05A625A8"/>
    <w:rsid w:val="05AF3B52"/>
    <w:rsid w:val="05AF5900"/>
    <w:rsid w:val="05BD06C4"/>
    <w:rsid w:val="05D01BB0"/>
    <w:rsid w:val="05DB6ED0"/>
    <w:rsid w:val="05DE74A5"/>
    <w:rsid w:val="05F006DD"/>
    <w:rsid w:val="05F96B7B"/>
    <w:rsid w:val="060C2D53"/>
    <w:rsid w:val="06157171"/>
    <w:rsid w:val="065B3392"/>
    <w:rsid w:val="06624721"/>
    <w:rsid w:val="0680104B"/>
    <w:rsid w:val="0692209B"/>
    <w:rsid w:val="06964B22"/>
    <w:rsid w:val="06A3497E"/>
    <w:rsid w:val="06B238FA"/>
    <w:rsid w:val="06B70F10"/>
    <w:rsid w:val="06F23CF7"/>
    <w:rsid w:val="07000440"/>
    <w:rsid w:val="07091040"/>
    <w:rsid w:val="07100621"/>
    <w:rsid w:val="07245E7A"/>
    <w:rsid w:val="072E0AA7"/>
    <w:rsid w:val="07455E31"/>
    <w:rsid w:val="07481B68"/>
    <w:rsid w:val="07593D76"/>
    <w:rsid w:val="07927789"/>
    <w:rsid w:val="07941252"/>
    <w:rsid w:val="07A84224"/>
    <w:rsid w:val="07AB0349"/>
    <w:rsid w:val="07CB3F38"/>
    <w:rsid w:val="07E22C05"/>
    <w:rsid w:val="07F910B5"/>
    <w:rsid w:val="08533767"/>
    <w:rsid w:val="085F360E"/>
    <w:rsid w:val="086C7AD9"/>
    <w:rsid w:val="087D5842"/>
    <w:rsid w:val="0882029B"/>
    <w:rsid w:val="089B6610"/>
    <w:rsid w:val="08B0189B"/>
    <w:rsid w:val="08B42010"/>
    <w:rsid w:val="08B464F2"/>
    <w:rsid w:val="08E321A3"/>
    <w:rsid w:val="08E43B13"/>
    <w:rsid w:val="08FC55B3"/>
    <w:rsid w:val="090715AF"/>
    <w:rsid w:val="0908770F"/>
    <w:rsid w:val="09385C0D"/>
    <w:rsid w:val="094822F4"/>
    <w:rsid w:val="09736C45"/>
    <w:rsid w:val="09796762"/>
    <w:rsid w:val="098D5F59"/>
    <w:rsid w:val="09AD7DF8"/>
    <w:rsid w:val="09B554AF"/>
    <w:rsid w:val="09B90AFC"/>
    <w:rsid w:val="09F443BB"/>
    <w:rsid w:val="09F97827"/>
    <w:rsid w:val="0A15546F"/>
    <w:rsid w:val="0A1A3D63"/>
    <w:rsid w:val="0A1F722F"/>
    <w:rsid w:val="0A20501F"/>
    <w:rsid w:val="0A252635"/>
    <w:rsid w:val="0A265C16"/>
    <w:rsid w:val="0A2C39C3"/>
    <w:rsid w:val="0A4E3774"/>
    <w:rsid w:val="0A690774"/>
    <w:rsid w:val="0A9C5F85"/>
    <w:rsid w:val="0AA74DF8"/>
    <w:rsid w:val="0ACE2E42"/>
    <w:rsid w:val="0AD35BED"/>
    <w:rsid w:val="0AFA10DB"/>
    <w:rsid w:val="0B5E5DFE"/>
    <w:rsid w:val="0B6C7DF0"/>
    <w:rsid w:val="0B753148"/>
    <w:rsid w:val="0B7A69B0"/>
    <w:rsid w:val="0B7F7B23"/>
    <w:rsid w:val="0B8E7D66"/>
    <w:rsid w:val="0B9326C3"/>
    <w:rsid w:val="0B941820"/>
    <w:rsid w:val="0BA61553"/>
    <w:rsid w:val="0BAA1044"/>
    <w:rsid w:val="0BAB6B6A"/>
    <w:rsid w:val="0BD566D7"/>
    <w:rsid w:val="0BF11154"/>
    <w:rsid w:val="0C012C2E"/>
    <w:rsid w:val="0C1C35C4"/>
    <w:rsid w:val="0C1F37E1"/>
    <w:rsid w:val="0C204F3B"/>
    <w:rsid w:val="0C230DF6"/>
    <w:rsid w:val="0C524D8A"/>
    <w:rsid w:val="0C7C4062"/>
    <w:rsid w:val="0C923C6F"/>
    <w:rsid w:val="0CAF051D"/>
    <w:rsid w:val="0CB101B0"/>
    <w:rsid w:val="0CD16A8F"/>
    <w:rsid w:val="0CDD71F7"/>
    <w:rsid w:val="0CEF0CD8"/>
    <w:rsid w:val="0CFB58CF"/>
    <w:rsid w:val="0D0275CC"/>
    <w:rsid w:val="0D0A78C0"/>
    <w:rsid w:val="0D403066"/>
    <w:rsid w:val="0D41549B"/>
    <w:rsid w:val="0D5D5C42"/>
    <w:rsid w:val="0D682F64"/>
    <w:rsid w:val="0D7731A8"/>
    <w:rsid w:val="0D817B82"/>
    <w:rsid w:val="0DAB2E51"/>
    <w:rsid w:val="0DD71E98"/>
    <w:rsid w:val="0DDA1988"/>
    <w:rsid w:val="0DDF0D4D"/>
    <w:rsid w:val="0DE16873"/>
    <w:rsid w:val="0E0D40F9"/>
    <w:rsid w:val="0E252C04"/>
    <w:rsid w:val="0E2B5D40"/>
    <w:rsid w:val="0E4D5CB6"/>
    <w:rsid w:val="0E587BC1"/>
    <w:rsid w:val="0E5B0899"/>
    <w:rsid w:val="0E6D0107"/>
    <w:rsid w:val="0E81453A"/>
    <w:rsid w:val="0E837ECC"/>
    <w:rsid w:val="0E99541D"/>
    <w:rsid w:val="0EA37FCC"/>
    <w:rsid w:val="0EB126E9"/>
    <w:rsid w:val="0EB2020F"/>
    <w:rsid w:val="0EB21FBD"/>
    <w:rsid w:val="0EB956B6"/>
    <w:rsid w:val="0EE91E83"/>
    <w:rsid w:val="0EF32D02"/>
    <w:rsid w:val="0EFE0659"/>
    <w:rsid w:val="0F3A26DF"/>
    <w:rsid w:val="0F4B5039"/>
    <w:rsid w:val="0F4C5F6E"/>
    <w:rsid w:val="0F6C03BE"/>
    <w:rsid w:val="0F7741DC"/>
    <w:rsid w:val="0FD56AC2"/>
    <w:rsid w:val="0FE443F8"/>
    <w:rsid w:val="10090D8C"/>
    <w:rsid w:val="10280789"/>
    <w:rsid w:val="103A74C4"/>
    <w:rsid w:val="1041184B"/>
    <w:rsid w:val="10417A9D"/>
    <w:rsid w:val="10437371"/>
    <w:rsid w:val="10523A58"/>
    <w:rsid w:val="10826AE5"/>
    <w:rsid w:val="10853E2D"/>
    <w:rsid w:val="10861954"/>
    <w:rsid w:val="10A56587"/>
    <w:rsid w:val="10B1077E"/>
    <w:rsid w:val="10C83D1A"/>
    <w:rsid w:val="10CB7366"/>
    <w:rsid w:val="10D66437"/>
    <w:rsid w:val="110A7E8F"/>
    <w:rsid w:val="110E3E23"/>
    <w:rsid w:val="110E5BD1"/>
    <w:rsid w:val="111907A4"/>
    <w:rsid w:val="112A3F61"/>
    <w:rsid w:val="112C24FB"/>
    <w:rsid w:val="112C42A9"/>
    <w:rsid w:val="113373E5"/>
    <w:rsid w:val="113413B0"/>
    <w:rsid w:val="11837788"/>
    <w:rsid w:val="11987B90"/>
    <w:rsid w:val="11AB78C4"/>
    <w:rsid w:val="11B60016"/>
    <w:rsid w:val="11B67FB4"/>
    <w:rsid w:val="11B76268"/>
    <w:rsid w:val="11C46A46"/>
    <w:rsid w:val="11C664AC"/>
    <w:rsid w:val="11CA0B5F"/>
    <w:rsid w:val="11E63705"/>
    <w:rsid w:val="11EC57E6"/>
    <w:rsid w:val="11F03528"/>
    <w:rsid w:val="12113873"/>
    <w:rsid w:val="123F13C6"/>
    <w:rsid w:val="12485112"/>
    <w:rsid w:val="126006AE"/>
    <w:rsid w:val="128D6FC9"/>
    <w:rsid w:val="12A0457B"/>
    <w:rsid w:val="12AF6F40"/>
    <w:rsid w:val="12B36126"/>
    <w:rsid w:val="12C02EFB"/>
    <w:rsid w:val="12D6260F"/>
    <w:rsid w:val="12E52961"/>
    <w:rsid w:val="12EE01CF"/>
    <w:rsid w:val="133C260D"/>
    <w:rsid w:val="13441D7E"/>
    <w:rsid w:val="135D4BEE"/>
    <w:rsid w:val="135D6B3A"/>
    <w:rsid w:val="136E2957"/>
    <w:rsid w:val="13833B1F"/>
    <w:rsid w:val="13BF7656"/>
    <w:rsid w:val="13C23B6A"/>
    <w:rsid w:val="13C95DDF"/>
    <w:rsid w:val="13D719DC"/>
    <w:rsid w:val="13DC1FB6"/>
    <w:rsid w:val="13EE3A98"/>
    <w:rsid w:val="14072DAB"/>
    <w:rsid w:val="140C2170"/>
    <w:rsid w:val="140E413A"/>
    <w:rsid w:val="14123C2A"/>
    <w:rsid w:val="142571A4"/>
    <w:rsid w:val="14382F65"/>
    <w:rsid w:val="143A0A8B"/>
    <w:rsid w:val="143A4F2F"/>
    <w:rsid w:val="143A6CDD"/>
    <w:rsid w:val="14472097"/>
    <w:rsid w:val="144D63F0"/>
    <w:rsid w:val="1485147D"/>
    <w:rsid w:val="149A3C1F"/>
    <w:rsid w:val="14DA22B3"/>
    <w:rsid w:val="14EF1875"/>
    <w:rsid w:val="150A6E93"/>
    <w:rsid w:val="153320AA"/>
    <w:rsid w:val="153B0F5F"/>
    <w:rsid w:val="15503C2B"/>
    <w:rsid w:val="15521B5B"/>
    <w:rsid w:val="15532A7B"/>
    <w:rsid w:val="15542020"/>
    <w:rsid w:val="155E4C4D"/>
    <w:rsid w:val="15671D54"/>
    <w:rsid w:val="1573694A"/>
    <w:rsid w:val="15877D00"/>
    <w:rsid w:val="1590455A"/>
    <w:rsid w:val="15997A33"/>
    <w:rsid w:val="159D2EAE"/>
    <w:rsid w:val="159D39C7"/>
    <w:rsid w:val="15B55000"/>
    <w:rsid w:val="15C35FCC"/>
    <w:rsid w:val="15C42D02"/>
    <w:rsid w:val="15C745A0"/>
    <w:rsid w:val="15C90318"/>
    <w:rsid w:val="15F5110D"/>
    <w:rsid w:val="16070E41"/>
    <w:rsid w:val="160E532F"/>
    <w:rsid w:val="161C1291"/>
    <w:rsid w:val="162B0FD3"/>
    <w:rsid w:val="163360DA"/>
    <w:rsid w:val="163F05DA"/>
    <w:rsid w:val="1657033A"/>
    <w:rsid w:val="166718DF"/>
    <w:rsid w:val="168129A1"/>
    <w:rsid w:val="16816E45"/>
    <w:rsid w:val="16872274"/>
    <w:rsid w:val="1695469E"/>
    <w:rsid w:val="16A82624"/>
    <w:rsid w:val="16B74615"/>
    <w:rsid w:val="16C32FBA"/>
    <w:rsid w:val="16C92F49"/>
    <w:rsid w:val="16D36F75"/>
    <w:rsid w:val="16EB42BE"/>
    <w:rsid w:val="16FC471D"/>
    <w:rsid w:val="17075EE6"/>
    <w:rsid w:val="172B061A"/>
    <w:rsid w:val="173C2D6C"/>
    <w:rsid w:val="174A7237"/>
    <w:rsid w:val="174C1201"/>
    <w:rsid w:val="174E17EE"/>
    <w:rsid w:val="175D340E"/>
    <w:rsid w:val="17626C76"/>
    <w:rsid w:val="177351F0"/>
    <w:rsid w:val="17800EAB"/>
    <w:rsid w:val="178169D1"/>
    <w:rsid w:val="179130B8"/>
    <w:rsid w:val="17924C8C"/>
    <w:rsid w:val="17C50FB3"/>
    <w:rsid w:val="17CA481C"/>
    <w:rsid w:val="17DB07D7"/>
    <w:rsid w:val="17E56F60"/>
    <w:rsid w:val="1808734F"/>
    <w:rsid w:val="18250162"/>
    <w:rsid w:val="183121A5"/>
    <w:rsid w:val="18480CED"/>
    <w:rsid w:val="18532090"/>
    <w:rsid w:val="185A745C"/>
    <w:rsid w:val="18860743"/>
    <w:rsid w:val="18890233"/>
    <w:rsid w:val="1897503E"/>
    <w:rsid w:val="18E13B20"/>
    <w:rsid w:val="18E5190D"/>
    <w:rsid w:val="18F41B50"/>
    <w:rsid w:val="18F733EE"/>
    <w:rsid w:val="192D5062"/>
    <w:rsid w:val="194948B4"/>
    <w:rsid w:val="19520625"/>
    <w:rsid w:val="196640D0"/>
    <w:rsid w:val="197B5DCD"/>
    <w:rsid w:val="198D5B01"/>
    <w:rsid w:val="199155F1"/>
    <w:rsid w:val="1998697F"/>
    <w:rsid w:val="19A370D2"/>
    <w:rsid w:val="19B66E06"/>
    <w:rsid w:val="19BA177B"/>
    <w:rsid w:val="19D11E91"/>
    <w:rsid w:val="19D153BE"/>
    <w:rsid w:val="19F15275"/>
    <w:rsid w:val="19FC6318"/>
    <w:rsid w:val="1A0C2EC9"/>
    <w:rsid w:val="1A0C4C78"/>
    <w:rsid w:val="1A4A57A0"/>
    <w:rsid w:val="1A534654"/>
    <w:rsid w:val="1A6920CA"/>
    <w:rsid w:val="1A7171D0"/>
    <w:rsid w:val="1AB71087"/>
    <w:rsid w:val="1ABC044C"/>
    <w:rsid w:val="1ACB4B33"/>
    <w:rsid w:val="1AD339E7"/>
    <w:rsid w:val="1AE71241"/>
    <w:rsid w:val="1AED32EC"/>
    <w:rsid w:val="1B145CC3"/>
    <w:rsid w:val="1B270BA9"/>
    <w:rsid w:val="1B324BB2"/>
    <w:rsid w:val="1B3F107D"/>
    <w:rsid w:val="1B4B17D0"/>
    <w:rsid w:val="1B617245"/>
    <w:rsid w:val="1B6D1746"/>
    <w:rsid w:val="1B7519FE"/>
    <w:rsid w:val="1B852F33"/>
    <w:rsid w:val="1B8D003A"/>
    <w:rsid w:val="1BBC447B"/>
    <w:rsid w:val="1BC54051"/>
    <w:rsid w:val="1BFD51C0"/>
    <w:rsid w:val="1C24274C"/>
    <w:rsid w:val="1C2D7127"/>
    <w:rsid w:val="1C39309A"/>
    <w:rsid w:val="1C427076"/>
    <w:rsid w:val="1C4E5A1B"/>
    <w:rsid w:val="1CF87735"/>
    <w:rsid w:val="1D0936F0"/>
    <w:rsid w:val="1D102CD1"/>
    <w:rsid w:val="1D134398"/>
    <w:rsid w:val="1D2624F4"/>
    <w:rsid w:val="1D28626C"/>
    <w:rsid w:val="1D4604A0"/>
    <w:rsid w:val="1D5030CD"/>
    <w:rsid w:val="1D725739"/>
    <w:rsid w:val="1D8D4E5D"/>
    <w:rsid w:val="1D8E1F7F"/>
    <w:rsid w:val="1D970CFC"/>
    <w:rsid w:val="1D9D19DF"/>
    <w:rsid w:val="1DBE44DB"/>
    <w:rsid w:val="1DEF6D8A"/>
    <w:rsid w:val="1DF31440"/>
    <w:rsid w:val="1DF3368A"/>
    <w:rsid w:val="1DFE6FCD"/>
    <w:rsid w:val="1E0D7210"/>
    <w:rsid w:val="1E0F4D36"/>
    <w:rsid w:val="1E12569C"/>
    <w:rsid w:val="1E334EC9"/>
    <w:rsid w:val="1E3429EF"/>
    <w:rsid w:val="1E3D7AF5"/>
    <w:rsid w:val="1E682698"/>
    <w:rsid w:val="1E7B061E"/>
    <w:rsid w:val="1E870D8C"/>
    <w:rsid w:val="1E9A6CF6"/>
    <w:rsid w:val="1EB31560"/>
    <w:rsid w:val="1EB904D1"/>
    <w:rsid w:val="1EC45B21"/>
    <w:rsid w:val="1EE47F71"/>
    <w:rsid w:val="1F092ECA"/>
    <w:rsid w:val="1F0B44C1"/>
    <w:rsid w:val="1F220A99"/>
    <w:rsid w:val="1F694C05"/>
    <w:rsid w:val="1F7A2683"/>
    <w:rsid w:val="1F8F25D3"/>
    <w:rsid w:val="1F923E71"/>
    <w:rsid w:val="1FA06BC5"/>
    <w:rsid w:val="1FB1239B"/>
    <w:rsid w:val="1FB77F78"/>
    <w:rsid w:val="1FC35F02"/>
    <w:rsid w:val="1FC50BA0"/>
    <w:rsid w:val="1FC9773B"/>
    <w:rsid w:val="1FEE0565"/>
    <w:rsid w:val="1FF41B0B"/>
    <w:rsid w:val="20054643"/>
    <w:rsid w:val="2020322B"/>
    <w:rsid w:val="20216FA3"/>
    <w:rsid w:val="203C5B8B"/>
    <w:rsid w:val="20407429"/>
    <w:rsid w:val="20442505"/>
    <w:rsid w:val="2063580D"/>
    <w:rsid w:val="206C6470"/>
    <w:rsid w:val="20713A86"/>
    <w:rsid w:val="208F6602"/>
    <w:rsid w:val="209D487B"/>
    <w:rsid w:val="20AC2D10"/>
    <w:rsid w:val="20AE4CDA"/>
    <w:rsid w:val="20C75D9C"/>
    <w:rsid w:val="20D109C9"/>
    <w:rsid w:val="20D504B9"/>
    <w:rsid w:val="212B00D9"/>
    <w:rsid w:val="212D7572"/>
    <w:rsid w:val="21452556"/>
    <w:rsid w:val="21463165"/>
    <w:rsid w:val="217355DC"/>
    <w:rsid w:val="21921F06"/>
    <w:rsid w:val="21CB0B5E"/>
    <w:rsid w:val="21E85FCA"/>
    <w:rsid w:val="21F030D1"/>
    <w:rsid w:val="22097CEF"/>
    <w:rsid w:val="222A0391"/>
    <w:rsid w:val="22612BFA"/>
    <w:rsid w:val="2268710B"/>
    <w:rsid w:val="22780300"/>
    <w:rsid w:val="22806203"/>
    <w:rsid w:val="22C5455D"/>
    <w:rsid w:val="22C75BE0"/>
    <w:rsid w:val="22CF0F38"/>
    <w:rsid w:val="22EF3388"/>
    <w:rsid w:val="2318468D"/>
    <w:rsid w:val="231E77CA"/>
    <w:rsid w:val="23243032"/>
    <w:rsid w:val="233314C7"/>
    <w:rsid w:val="233A0AA7"/>
    <w:rsid w:val="235C6C70"/>
    <w:rsid w:val="23887A65"/>
    <w:rsid w:val="23953F30"/>
    <w:rsid w:val="239D2DE4"/>
    <w:rsid w:val="23B343B6"/>
    <w:rsid w:val="23BB662F"/>
    <w:rsid w:val="23BF71FF"/>
    <w:rsid w:val="23E629DD"/>
    <w:rsid w:val="23EB3B50"/>
    <w:rsid w:val="23F24EDE"/>
    <w:rsid w:val="240B7DA3"/>
    <w:rsid w:val="242F4692"/>
    <w:rsid w:val="24415E66"/>
    <w:rsid w:val="2443573A"/>
    <w:rsid w:val="246A0F18"/>
    <w:rsid w:val="246A66DE"/>
    <w:rsid w:val="248D0750"/>
    <w:rsid w:val="24955FE0"/>
    <w:rsid w:val="24A26904"/>
    <w:rsid w:val="24AC7783"/>
    <w:rsid w:val="24B91EA0"/>
    <w:rsid w:val="24C26FA6"/>
    <w:rsid w:val="24EC7B7F"/>
    <w:rsid w:val="250F2CA2"/>
    <w:rsid w:val="25113A8A"/>
    <w:rsid w:val="25164BFC"/>
    <w:rsid w:val="252A68FA"/>
    <w:rsid w:val="25381017"/>
    <w:rsid w:val="254A4580"/>
    <w:rsid w:val="254D06D1"/>
    <w:rsid w:val="25510815"/>
    <w:rsid w:val="256E75A0"/>
    <w:rsid w:val="257F6C45"/>
    <w:rsid w:val="25A246E2"/>
    <w:rsid w:val="25B17280"/>
    <w:rsid w:val="25D074A1"/>
    <w:rsid w:val="25E42F4C"/>
    <w:rsid w:val="25EF4523"/>
    <w:rsid w:val="26292161"/>
    <w:rsid w:val="262D044F"/>
    <w:rsid w:val="2646191E"/>
    <w:rsid w:val="264D0AF2"/>
    <w:rsid w:val="265579A6"/>
    <w:rsid w:val="266D4CF0"/>
    <w:rsid w:val="267F4298"/>
    <w:rsid w:val="26B40B71"/>
    <w:rsid w:val="26B66697"/>
    <w:rsid w:val="26BC17D3"/>
    <w:rsid w:val="26C16DEA"/>
    <w:rsid w:val="26D1527F"/>
    <w:rsid w:val="26ED5E31"/>
    <w:rsid w:val="26F338B0"/>
    <w:rsid w:val="27035654"/>
    <w:rsid w:val="27076EF2"/>
    <w:rsid w:val="27271343"/>
    <w:rsid w:val="2753038A"/>
    <w:rsid w:val="27644C4D"/>
    <w:rsid w:val="27696102"/>
    <w:rsid w:val="277F4CDB"/>
    <w:rsid w:val="278E732D"/>
    <w:rsid w:val="279544FE"/>
    <w:rsid w:val="27B5694E"/>
    <w:rsid w:val="27BD21B1"/>
    <w:rsid w:val="27BE1357"/>
    <w:rsid w:val="27D50BCB"/>
    <w:rsid w:val="27EC60E8"/>
    <w:rsid w:val="27F76F67"/>
    <w:rsid w:val="28101DD7"/>
    <w:rsid w:val="281C077C"/>
    <w:rsid w:val="284D42CD"/>
    <w:rsid w:val="284E2B71"/>
    <w:rsid w:val="28553020"/>
    <w:rsid w:val="286B43E1"/>
    <w:rsid w:val="287A36F4"/>
    <w:rsid w:val="2890116A"/>
    <w:rsid w:val="28A16ED3"/>
    <w:rsid w:val="28B0085E"/>
    <w:rsid w:val="28C606E7"/>
    <w:rsid w:val="28D01566"/>
    <w:rsid w:val="28D177B8"/>
    <w:rsid w:val="28E868B0"/>
    <w:rsid w:val="29017971"/>
    <w:rsid w:val="29023E15"/>
    <w:rsid w:val="29057462"/>
    <w:rsid w:val="290C6A42"/>
    <w:rsid w:val="2919115F"/>
    <w:rsid w:val="29192F0D"/>
    <w:rsid w:val="291D0C4F"/>
    <w:rsid w:val="295D54F0"/>
    <w:rsid w:val="29AA1DB7"/>
    <w:rsid w:val="29AC1FD3"/>
    <w:rsid w:val="29B12F1C"/>
    <w:rsid w:val="29B175E9"/>
    <w:rsid w:val="29CC4423"/>
    <w:rsid w:val="29EA6657"/>
    <w:rsid w:val="29F3375E"/>
    <w:rsid w:val="29F769CA"/>
    <w:rsid w:val="2A225DF1"/>
    <w:rsid w:val="2A3C5105"/>
    <w:rsid w:val="2A593FA2"/>
    <w:rsid w:val="2A832D34"/>
    <w:rsid w:val="2AA4611B"/>
    <w:rsid w:val="2AAF1D7B"/>
    <w:rsid w:val="2AB0164F"/>
    <w:rsid w:val="2AB253C7"/>
    <w:rsid w:val="2AB56C65"/>
    <w:rsid w:val="2ABD539E"/>
    <w:rsid w:val="2ABE3D6C"/>
    <w:rsid w:val="2ACE1AD5"/>
    <w:rsid w:val="2AD03A9F"/>
    <w:rsid w:val="2AF26DA0"/>
    <w:rsid w:val="2B055FD8"/>
    <w:rsid w:val="2B110340"/>
    <w:rsid w:val="2B255B99"/>
    <w:rsid w:val="2B2667A1"/>
    <w:rsid w:val="2B275DB5"/>
    <w:rsid w:val="2B3B360F"/>
    <w:rsid w:val="2B3D7387"/>
    <w:rsid w:val="2B41674B"/>
    <w:rsid w:val="2B726905"/>
    <w:rsid w:val="2B756E42"/>
    <w:rsid w:val="2B836D64"/>
    <w:rsid w:val="2B8F74B6"/>
    <w:rsid w:val="2B960845"/>
    <w:rsid w:val="2BB90C74"/>
    <w:rsid w:val="2BC2163A"/>
    <w:rsid w:val="2BC929C8"/>
    <w:rsid w:val="2BDC0979"/>
    <w:rsid w:val="2BE05F64"/>
    <w:rsid w:val="2BE21CDC"/>
    <w:rsid w:val="2BE27F2E"/>
    <w:rsid w:val="2BF51A0F"/>
    <w:rsid w:val="2BFF288E"/>
    <w:rsid w:val="2C016606"/>
    <w:rsid w:val="2C0E487F"/>
    <w:rsid w:val="2C212804"/>
    <w:rsid w:val="2C271DE5"/>
    <w:rsid w:val="2C2965E5"/>
    <w:rsid w:val="2C385DA0"/>
    <w:rsid w:val="2C46226B"/>
    <w:rsid w:val="2C542222"/>
    <w:rsid w:val="2C66290D"/>
    <w:rsid w:val="2CA451E4"/>
    <w:rsid w:val="2CAD1FE0"/>
    <w:rsid w:val="2CB90C8F"/>
    <w:rsid w:val="2CB9597D"/>
    <w:rsid w:val="2CD258AD"/>
    <w:rsid w:val="2D1B5A67"/>
    <w:rsid w:val="2D2803F9"/>
    <w:rsid w:val="2D6329A9"/>
    <w:rsid w:val="2D652BC5"/>
    <w:rsid w:val="2D6E5B72"/>
    <w:rsid w:val="2D785AA7"/>
    <w:rsid w:val="2D8172D3"/>
    <w:rsid w:val="2D855015"/>
    <w:rsid w:val="2D865C8A"/>
    <w:rsid w:val="2DB66F7C"/>
    <w:rsid w:val="2DBF2EF6"/>
    <w:rsid w:val="2DD37B2E"/>
    <w:rsid w:val="2DE0049D"/>
    <w:rsid w:val="2DE03FF9"/>
    <w:rsid w:val="2DE955A4"/>
    <w:rsid w:val="2DEC299E"/>
    <w:rsid w:val="2DF16206"/>
    <w:rsid w:val="2DF71661"/>
    <w:rsid w:val="2E0870E9"/>
    <w:rsid w:val="2E0A72C8"/>
    <w:rsid w:val="2E13617D"/>
    <w:rsid w:val="2E3031D3"/>
    <w:rsid w:val="2E3D769E"/>
    <w:rsid w:val="2E6E7857"/>
    <w:rsid w:val="2E7C7E69"/>
    <w:rsid w:val="2E870919"/>
    <w:rsid w:val="2E9F5C62"/>
    <w:rsid w:val="2EAA7EBC"/>
    <w:rsid w:val="2EAD776A"/>
    <w:rsid w:val="2EBE07DF"/>
    <w:rsid w:val="2EBF6305"/>
    <w:rsid w:val="2ED718A0"/>
    <w:rsid w:val="2EE8226D"/>
    <w:rsid w:val="2EFA61C6"/>
    <w:rsid w:val="2F0401BB"/>
    <w:rsid w:val="2F0D52C2"/>
    <w:rsid w:val="2F0F2DE8"/>
    <w:rsid w:val="2F1E0F22"/>
    <w:rsid w:val="2F210D6D"/>
    <w:rsid w:val="2F5D42A3"/>
    <w:rsid w:val="2F6B3D97"/>
    <w:rsid w:val="2F94153F"/>
    <w:rsid w:val="30077F63"/>
    <w:rsid w:val="300C2D38"/>
    <w:rsid w:val="30224D9D"/>
    <w:rsid w:val="307355F9"/>
    <w:rsid w:val="307849BD"/>
    <w:rsid w:val="30896BCA"/>
    <w:rsid w:val="30BA3228"/>
    <w:rsid w:val="30DC4F4C"/>
    <w:rsid w:val="30FD6A4C"/>
    <w:rsid w:val="311346E6"/>
    <w:rsid w:val="311741D6"/>
    <w:rsid w:val="311C17EC"/>
    <w:rsid w:val="312B002D"/>
    <w:rsid w:val="312E328B"/>
    <w:rsid w:val="3138414C"/>
    <w:rsid w:val="313E4D12"/>
    <w:rsid w:val="314476CE"/>
    <w:rsid w:val="31572824"/>
    <w:rsid w:val="316136A3"/>
    <w:rsid w:val="31662A68"/>
    <w:rsid w:val="31684A32"/>
    <w:rsid w:val="31943A79"/>
    <w:rsid w:val="31D83AE1"/>
    <w:rsid w:val="31F97D80"/>
    <w:rsid w:val="322D17D7"/>
    <w:rsid w:val="323112C7"/>
    <w:rsid w:val="32313075"/>
    <w:rsid w:val="3256349C"/>
    <w:rsid w:val="3281224F"/>
    <w:rsid w:val="32851613"/>
    <w:rsid w:val="32BF2D77"/>
    <w:rsid w:val="32DC56D7"/>
    <w:rsid w:val="32DD144F"/>
    <w:rsid w:val="32EB1476"/>
    <w:rsid w:val="3301513E"/>
    <w:rsid w:val="33356B95"/>
    <w:rsid w:val="33376CAA"/>
    <w:rsid w:val="333F5C66"/>
    <w:rsid w:val="334D3EDF"/>
    <w:rsid w:val="33574D5E"/>
    <w:rsid w:val="335E433E"/>
    <w:rsid w:val="335F1E64"/>
    <w:rsid w:val="337026AA"/>
    <w:rsid w:val="337771AE"/>
    <w:rsid w:val="337807F0"/>
    <w:rsid w:val="338B2C59"/>
    <w:rsid w:val="33A1422B"/>
    <w:rsid w:val="33AA7583"/>
    <w:rsid w:val="33B51A84"/>
    <w:rsid w:val="33BF2903"/>
    <w:rsid w:val="33DE0FDB"/>
    <w:rsid w:val="33E660E2"/>
    <w:rsid w:val="33E95481"/>
    <w:rsid w:val="33FC5905"/>
    <w:rsid w:val="33FC76B3"/>
    <w:rsid w:val="34077301"/>
    <w:rsid w:val="340A1DD0"/>
    <w:rsid w:val="34164C19"/>
    <w:rsid w:val="34207846"/>
    <w:rsid w:val="345D2848"/>
    <w:rsid w:val="346E3D37"/>
    <w:rsid w:val="3481537F"/>
    <w:rsid w:val="349E076A"/>
    <w:rsid w:val="34C04B85"/>
    <w:rsid w:val="34C44675"/>
    <w:rsid w:val="34C76803"/>
    <w:rsid w:val="34D04DC8"/>
    <w:rsid w:val="351A0F4F"/>
    <w:rsid w:val="351F7895"/>
    <w:rsid w:val="35213875"/>
    <w:rsid w:val="35270760"/>
    <w:rsid w:val="35310A84"/>
    <w:rsid w:val="35387824"/>
    <w:rsid w:val="354B26A0"/>
    <w:rsid w:val="355359F9"/>
    <w:rsid w:val="35614165"/>
    <w:rsid w:val="35690D78"/>
    <w:rsid w:val="3569521C"/>
    <w:rsid w:val="35845BB2"/>
    <w:rsid w:val="358B6F41"/>
    <w:rsid w:val="35B04BF9"/>
    <w:rsid w:val="35CB558F"/>
    <w:rsid w:val="35DF103A"/>
    <w:rsid w:val="35EB79DF"/>
    <w:rsid w:val="35ED3757"/>
    <w:rsid w:val="35EF6C51"/>
    <w:rsid w:val="360A255B"/>
    <w:rsid w:val="36115B96"/>
    <w:rsid w:val="363650FE"/>
    <w:rsid w:val="364E5613"/>
    <w:rsid w:val="365732C7"/>
    <w:rsid w:val="366B04D8"/>
    <w:rsid w:val="36702397"/>
    <w:rsid w:val="36835E6A"/>
    <w:rsid w:val="368E4F3A"/>
    <w:rsid w:val="36D05553"/>
    <w:rsid w:val="36DB5CA6"/>
    <w:rsid w:val="36F079A3"/>
    <w:rsid w:val="37024FE0"/>
    <w:rsid w:val="37092813"/>
    <w:rsid w:val="373F5762"/>
    <w:rsid w:val="376E08C8"/>
    <w:rsid w:val="377264D2"/>
    <w:rsid w:val="37A3074B"/>
    <w:rsid w:val="37A33759"/>
    <w:rsid w:val="37B54749"/>
    <w:rsid w:val="37C87FD8"/>
    <w:rsid w:val="37CD55EE"/>
    <w:rsid w:val="37FE7E9E"/>
    <w:rsid w:val="380A4A95"/>
    <w:rsid w:val="381274A5"/>
    <w:rsid w:val="38213B8C"/>
    <w:rsid w:val="38244305"/>
    <w:rsid w:val="383B4C4E"/>
    <w:rsid w:val="384D672F"/>
    <w:rsid w:val="38526CB0"/>
    <w:rsid w:val="38743CBC"/>
    <w:rsid w:val="38763ED8"/>
    <w:rsid w:val="38995E18"/>
    <w:rsid w:val="38C84008"/>
    <w:rsid w:val="38CC3AF8"/>
    <w:rsid w:val="38D87E9D"/>
    <w:rsid w:val="38DE1A7D"/>
    <w:rsid w:val="38F564A9"/>
    <w:rsid w:val="39167469"/>
    <w:rsid w:val="391943C2"/>
    <w:rsid w:val="39396CB4"/>
    <w:rsid w:val="393D2C48"/>
    <w:rsid w:val="39567866"/>
    <w:rsid w:val="397736FE"/>
    <w:rsid w:val="39784842"/>
    <w:rsid w:val="397F0B6A"/>
    <w:rsid w:val="39C62C3D"/>
    <w:rsid w:val="39CA7F0B"/>
    <w:rsid w:val="39D6717A"/>
    <w:rsid w:val="3A325BDD"/>
    <w:rsid w:val="3A3B7187"/>
    <w:rsid w:val="3A555D6F"/>
    <w:rsid w:val="3A65563B"/>
    <w:rsid w:val="3A7601BF"/>
    <w:rsid w:val="3A8D375B"/>
    <w:rsid w:val="3AA54601"/>
    <w:rsid w:val="3AB714BA"/>
    <w:rsid w:val="3AD273C0"/>
    <w:rsid w:val="3ADA1F6C"/>
    <w:rsid w:val="3AE01ADD"/>
    <w:rsid w:val="3AE96BE3"/>
    <w:rsid w:val="3AF15A98"/>
    <w:rsid w:val="3AF61FBB"/>
    <w:rsid w:val="3AFB2473"/>
    <w:rsid w:val="3B5A743B"/>
    <w:rsid w:val="3B620744"/>
    <w:rsid w:val="3B6268DD"/>
    <w:rsid w:val="3B6A75F8"/>
    <w:rsid w:val="3B8A07A5"/>
    <w:rsid w:val="3B936B4F"/>
    <w:rsid w:val="3B9528C7"/>
    <w:rsid w:val="3BA033DD"/>
    <w:rsid w:val="3BA40D5C"/>
    <w:rsid w:val="3BC1190E"/>
    <w:rsid w:val="3BDA2B5B"/>
    <w:rsid w:val="3BDC04F6"/>
    <w:rsid w:val="3C300842"/>
    <w:rsid w:val="3C30439E"/>
    <w:rsid w:val="3C4E2656"/>
    <w:rsid w:val="3C504A40"/>
    <w:rsid w:val="3C642299"/>
    <w:rsid w:val="3C6A5B02"/>
    <w:rsid w:val="3C6C49F6"/>
    <w:rsid w:val="3CB93103"/>
    <w:rsid w:val="3CBB635D"/>
    <w:rsid w:val="3CD13DD3"/>
    <w:rsid w:val="3CD94326"/>
    <w:rsid w:val="3CE533DA"/>
    <w:rsid w:val="3CFD4BC8"/>
    <w:rsid w:val="3D0F0457"/>
    <w:rsid w:val="3D132768"/>
    <w:rsid w:val="3D193084"/>
    <w:rsid w:val="3D1A24DF"/>
    <w:rsid w:val="3D2201B9"/>
    <w:rsid w:val="3D221AD5"/>
    <w:rsid w:val="3D475E43"/>
    <w:rsid w:val="3D4E5423"/>
    <w:rsid w:val="3D65451B"/>
    <w:rsid w:val="3D801355"/>
    <w:rsid w:val="3DC30E61"/>
    <w:rsid w:val="3DD376D7"/>
    <w:rsid w:val="3E1327A2"/>
    <w:rsid w:val="3E210442"/>
    <w:rsid w:val="3E35213F"/>
    <w:rsid w:val="3E887032"/>
    <w:rsid w:val="3E8A01E6"/>
    <w:rsid w:val="3EB70DA6"/>
    <w:rsid w:val="3EB72B54"/>
    <w:rsid w:val="3EC3599D"/>
    <w:rsid w:val="3EC84D62"/>
    <w:rsid w:val="3EE002FD"/>
    <w:rsid w:val="3EF63FC3"/>
    <w:rsid w:val="3F2F6B8F"/>
    <w:rsid w:val="3F4343E8"/>
    <w:rsid w:val="3F4A1C1A"/>
    <w:rsid w:val="3F746048"/>
    <w:rsid w:val="3F7942AE"/>
    <w:rsid w:val="3F7E18C4"/>
    <w:rsid w:val="3F9904AC"/>
    <w:rsid w:val="3FBD063E"/>
    <w:rsid w:val="3FD22213"/>
    <w:rsid w:val="3FFC25C9"/>
    <w:rsid w:val="40196395"/>
    <w:rsid w:val="401F4E55"/>
    <w:rsid w:val="40330901"/>
    <w:rsid w:val="40370F59"/>
    <w:rsid w:val="40752AFC"/>
    <w:rsid w:val="40D914A8"/>
    <w:rsid w:val="40DE261A"/>
    <w:rsid w:val="41287D39"/>
    <w:rsid w:val="4141252C"/>
    <w:rsid w:val="415C521C"/>
    <w:rsid w:val="41653AB8"/>
    <w:rsid w:val="41654AEA"/>
    <w:rsid w:val="417116E0"/>
    <w:rsid w:val="417C0913"/>
    <w:rsid w:val="4182569C"/>
    <w:rsid w:val="419D4283"/>
    <w:rsid w:val="41AE46E3"/>
    <w:rsid w:val="41DD28D2"/>
    <w:rsid w:val="41E023C2"/>
    <w:rsid w:val="4235270E"/>
    <w:rsid w:val="423E3B1B"/>
    <w:rsid w:val="425A4AD7"/>
    <w:rsid w:val="425F3C2F"/>
    <w:rsid w:val="425F778B"/>
    <w:rsid w:val="42756FAE"/>
    <w:rsid w:val="427D63F2"/>
    <w:rsid w:val="42CB4E20"/>
    <w:rsid w:val="42E90979"/>
    <w:rsid w:val="42EF6D61"/>
    <w:rsid w:val="42F97BDF"/>
    <w:rsid w:val="43104F29"/>
    <w:rsid w:val="432D1637"/>
    <w:rsid w:val="434846C3"/>
    <w:rsid w:val="434906F1"/>
    <w:rsid w:val="43721740"/>
    <w:rsid w:val="43747266"/>
    <w:rsid w:val="439873F8"/>
    <w:rsid w:val="43993170"/>
    <w:rsid w:val="439E6DDD"/>
    <w:rsid w:val="43B9736F"/>
    <w:rsid w:val="43C04259"/>
    <w:rsid w:val="43DE6DD5"/>
    <w:rsid w:val="43E73EDC"/>
    <w:rsid w:val="43EF4B3E"/>
    <w:rsid w:val="43FB7987"/>
    <w:rsid w:val="4405530E"/>
    <w:rsid w:val="441722A4"/>
    <w:rsid w:val="443415B0"/>
    <w:rsid w:val="446866CB"/>
    <w:rsid w:val="44BD4C3D"/>
    <w:rsid w:val="44D426B2"/>
    <w:rsid w:val="44DD0E3B"/>
    <w:rsid w:val="44E67ABD"/>
    <w:rsid w:val="44EE129A"/>
    <w:rsid w:val="450C6B01"/>
    <w:rsid w:val="45333A2F"/>
    <w:rsid w:val="45554E75"/>
    <w:rsid w:val="455C26A8"/>
    <w:rsid w:val="458C4D3B"/>
    <w:rsid w:val="459C3ED0"/>
    <w:rsid w:val="45A858ED"/>
    <w:rsid w:val="45B778DE"/>
    <w:rsid w:val="45B87639"/>
    <w:rsid w:val="45BA1642"/>
    <w:rsid w:val="45BF76C2"/>
    <w:rsid w:val="45C75D73"/>
    <w:rsid w:val="45D95346"/>
    <w:rsid w:val="45EC57D9"/>
    <w:rsid w:val="46003033"/>
    <w:rsid w:val="46043D40"/>
    <w:rsid w:val="46081EE8"/>
    <w:rsid w:val="46136A07"/>
    <w:rsid w:val="462A73D7"/>
    <w:rsid w:val="462D5440"/>
    <w:rsid w:val="464C44CA"/>
    <w:rsid w:val="467D388B"/>
    <w:rsid w:val="46940C7E"/>
    <w:rsid w:val="469F284C"/>
    <w:rsid w:val="46A47E62"/>
    <w:rsid w:val="46A63BDA"/>
    <w:rsid w:val="46B168C2"/>
    <w:rsid w:val="46B67B95"/>
    <w:rsid w:val="46C92431"/>
    <w:rsid w:val="46E97F6B"/>
    <w:rsid w:val="46FD7572"/>
    <w:rsid w:val="47383FA6"/>
    <w:rsid w:val="47394A4E"/>
    <w:rsid w:val="473C62ED"/>
    <w:rsid w:val="475A6773"/>
    <w:rsid w:val="47615D53"/>
    <w:rsid w:val="47B24801"/>
    <w:rsid w:val="48050DD4"/>
    <w:rsid w:val="480850F2"/>
    <w:rsid w:val="480E031B"/>
    <w:rsid w:val="481532D2"/>
    <w:rsid w:val="4823125B"/>
    <w:rsid w:val="48276F9D"/>
    <w:rsid w:val="482E7DF0"/>
    <w:rsid w:val="4849339B"/>
    <w:rsid w:val="485C35E6"/>
    <w:rsid w:val="485F3913"/>
    <w:rsid w:val="48673685"/>
    <w:rsid w:val="486D028E"/>
    <w:rsid w:val="48724F9F"/>
    <w:rsid w:val="488C5052"/>
    <w:rsid w:val="489D2DBB"/>
    <w:rsid w:val="48A405ED"/>
    <w:rsid w:val="48AF715A"/>
    <w:rsid w:val="48B06F92"/>
    <w:rsid w:val="48BA1BBF"/>
    <w:rsid w:val="48BD16AF"/>
    <w:rsid w:val="48CC18F2"/>
    <w:rsid w:val="48DA5DBD"/>
    <w:rsid w:val="48E704DA"/>
    <w:rsid w:val="48E94F23"/>
    <w:rsid w:val="48F13107"/>
    <w:rsid w:val="49090450"/>
    <w:rsid w:val="491D5CAA"/>
    <w:rsid w:val="493354CD"/>
    <w:rsid w:val="4944592C"/>
    <w:rsid w:val="494871CB"/>
    <w:rsid w:val="498B355B"/>
    <w:rsid w:val="49A63EF1"/>
    <w:rsid w:val="49AD34D2"/>
    <w:rsid w:val="49AE2BAD"/>
    <w:rsid w:val="49B4660E"/>
    <w:rsid w:val="49BA2BF9"/>
    <w:rsid w:val="49C76B78"/>
    <w:rsid w:val="49DB1DED"/>
    <w:rsid w:val="49E07403"/>
    <w:rsid w:val="49F7299F"/>
    <w:rsid w:val="4A0F5F3A"/>
    <w:rsid w:val="4A123335"/>
    <w:rsid w:val="4A176B9D"/>
    <w:rsid w:val="4A396B13"/>
    <w:rsid w:val="4A4264D9"/>
    <w:rsid w:val="4A4C34DE"/>
    <w:rsid w:val="4A547DF1"/>
    <w:rsid w:val="4A8F26EE"/>
    <w:rsid w:val="4AA448D5"/>
    <w:rsid w:val="4AB40CD7"/>
    <w:rsid w:val="4AC22FAD"/>
    <w:rsid w:val="4AE051E1"/>
    <w:rsid w:val="4B221C9D"/>
    <w:rsid w:val="4B337A07"/>
    <w:rsid w:val="4B400753"/>
    <w:rsid w:val="4B9743E4"/>
    <w:rsid w:val="4B9761E7"/>
    <w:rsid w:val="4BA6467C"/>
    <w:rsid w:val="4BAD77B9"/>
    <w:rsid w:val="4BCB5E91"/>
    <w:rsid w:val="4BE62CCB"/>
    <w:rsid w:val="4C022E22"/>
    <w:rsid w:val="4C173BA3"/>
    <w:rsid w:val="4C235CCD"/>
    <w:rsid w:val="4C39104D"/>
    <w:rsid w:val="4C453E95"/>
    <w:rsid w:val="4C5B7215"/>
    <w:rsid w:val="4CA46E0E"/>
    <w:rsid w:val="4CB659EA"/>
    <w:rsid w:val="4CC4300C"/>
    <w:rsid w:val="4CD40D75"/>
    <w:rsid w:val="4CD66EB3"/>
    <w:rsid w:val="4CD945DE"/>
    <w:rsid w:val="4D16313C"/>
    <w:rsid w:val="4D270C44"/>
    <w:rsid w:val="4D2E6CE7"/>
    <w:rsid w:val="4D6C007E"/>
    <w:rsid w:val="4D9A3D6D"/>
    <w:rsid w:val="4D9A5B1B"/>
    <w:rsid w:val="4DA8648A"/>
    <w:rsid w:val="4DAE7818"/>
    <w:rsid w:val="4DC4528E"/>
    <w:rsid w:val="4DCB0DA3"/>
    <w:rsid w:val="4DF711BF"/>
    <w:rsid w:val="4DFA2A5E"/>
    <w:rsid w:val="4DFA6C98"/>
    <w:rsid w:val="4E282719"/>
    <w:rsid w:val="4E393586"/>
    <w:rsid w:val="4E43130F"/>
    <w:rsid w:val="4E612ADD"/>
    <w:rsid w:val="4E720846"/>
    <w:rsid w:val="4E9E788D"/>
    <w:rsid w:val="4EB326F5"/>
    <w:rsid w:val="4ECA0682"/>
    <w:rsid w:val="4ECF0DD2"/>
    <w:rsid w:val="4ED17C62"/>
    <w:rsid w:val="4EDF2F6A"/>
    <w:rsid w:val="4F0168E2"/>
    <w:rsid w:val="4F161B19"/>
    <w:rsid w:val="4F2953A8"/>
    <w:rsid w:val="4F6E6617"/>
    <w:rsid w:val="4F786330"/>
    <w:rsid w:val="4F8151E4"/>
    <w:rsid w:val="4F8E5B53"/>
    <w:rsid w:val="4FA709C3"/>
    <w:rsid w:val="4FB57FD2"/>
    <w:rsid w:val="4FEB4D54"/>
    <w:rsid w:val="4FED287A"/>
    <w:rsid w:val="4FF61CE8"/>
    <w:rsid w:val="4FFA4F97"/>
    <w:rsid w:val="503469A6"/>
    <w:rsid w:val="503C110B"/>
    <w:rsid w:val="50406E4E"/>
    <w:rsid w:val="504F52E3"/>
    <w:rsid w:val="507B6E66"/>
    <w:rsid w:val="50D37CC2"/>
    <w:rsid w:val="50E83041"/>
    <w:rsid w:val="50EA6DB9"/>
    <w:rsid w:val="50F9524E"/>
    <w:rsid w:val="50FC089B"/>
    <w:rsid w:val="5107796B"/>
    <w:rsid w:val="519A07DF"/>
    <w:rsid w:val="51B25A38"/>
    <w:rsid w:val="51CE55D6"/>
    <w:rsid w:val="51DB6702"/>
    <w:rsid w:val="51DE2D2F"/>
    <w:rsid w:val="51DF2E97"/>
    <w:rsid w:val="51DF61F2"/>
    <w:rsid w:val="51F85506"/>
    <w:rsid w:val="52075749"/>
    <w:rsid w:val="52163F05"/>
    <w:rsid w:val="5245699D"/>
    <w:rsid w:val="5249088E"/>
    <w:rsid w:val="524D5852"/>
    <w:rsid w:val="52552958"/>
    <w:rsid w:val="525C5A95"/>
    <w:rsid w:val="526B217C"/>
    <w:rsid w:val="526C2F50"/>
    <w:rsid w:val="52746462"/>
    <w:rsid w:val="527B7908"/>
    <w:rsid w:val="527E1EAF"/>
    <w:rsid w:val="52821107"/>
    <w:rsid w:val="52A82A88"/>
    <w:rsid w:val="52C1231F"/>
    <w:rsid w:val="52CB49C9"/>
    <w:rsid w:val="52DB10B0"/>
    <w:rsid w:val="52DD4E28"/>
    <w:rsid w:val="52E437CD"/>
    <w:rsid w:val="52EC6671"/>
    <w:rsid w:val="52FB3500"/>
    <w:rsid w:val="53283BC9"/>
    <w:rsid w:val="532C5467"/>
    <w:rsid w:val="533F163E"/>
    <w:rsid w:val="534722A1"/>
    <w:rsid w:val="53542C10"/>
    <w:rsid w:val="53656BCB"/>
    <w:rsid w:val="536A238E"/>
    <w:rsid w:val="536B0C65"/>
    <w:rsid w:val="53730443"/>
    <w:rsid w:val="53901E9A"/>
    <w:rsid w:val="53BA6F17"/>
    <w:rsid w:val="53D61877"/>
    <w:rsid w:val="53D67F73"/>
    <w:rsid w:val="54026E4B"/>
    <w:rsid w:val="54102FDB"/>
    <w:rsid w:val="542C1497"/>
    <w:rsid w:val="543C792C"/>
    <w:rsid w:val="543F566E"/>
    <w:rsid w:val="544B136F"/>
    <w:rsid w:val="54520EFE"/>
    <w:rsid w:val="5452714F"/>
    <w:rsid w:val="545C1D7C"/>
    <w:rsid w:val="546B6463"/>
    <w:rsid w:val="54790B80"/>
    <w:rsid w:val="547E6196"/>
    <w:rsid w:val="54A0435F"/>
    <w:rsid w:val="54C82BAB"/>
    <w:rsid w:val="54D66CC3"/>
    <w:rsid w:val="54D758A7"/>
    <w:rsid w:val="54D97871"/>
    <w:rsid w:val="54FE4BE1"/>
    <w:rsid w:val="55083CB2"/>
    <w:rsid w:val="551375A2"/>
    <w:rsid w:val="553700F3"/>
    <w:rsid w:val="5552317F"/>
    <w:rsid w:val="55711857"/>
    <w:rsid w:val="5572737D"/>
    <w:rsid w:val="557430F6"/>
    <w:rsid w:val="55774994"/>
    <w:rsid w:val="55782BE6"/>
    <w:rsid w:val="559143F3"/>
    <w:rsid w:val="55945546"/>
    <w:rsid w:val="55A97243"/>
    <w:rsid w:val="55CC1183"/>
    <w:rsid w:val="55D63328"/>
    <w:rsid w:val="55FC2971"/>
    <w:rsid w:val="560F7F23"/>
    <w:rsid w:val="56535401"/>
    <w:rsid w:val="56540E91"/>
    <w:rsid w:val="56554CD5"/>
    <w:rsid w:val="56596943"/>
    <w:rsid w:val="5664316A"/>
    <w:rsid w:val="566D64C3"/>
    <w:rsid w:val="56777341"/>
    <w:rsid w:val="56982FFD"/>
    <w:rsid w:val="56A143BE"/>
    <w:rsid w:val="56A8574D"/>
    <w:rsid w:val="56ED315F"/>
    <w:rsid w:val="56F91B04"/>
    <w:rsid w:val="56FE4D8B"/>
    <w:rsid w:val="570753B4"/>
    <w:rsid w:val="57120E18"/>
    <w:rsid w:val="571A1A7B"/>
    <w:rsid w:val="571C623F"/>
    <w:rsid w:val="572515D1"/>
    <w:rsid w:val="57270758"/>
    <w:rsid w:val="57346FE0"/>
    <w:rsid w:val="573C40E7"/>
    <w:rsid w:val="57572CCF"/>
    <w:rsid w:val="575C55EE"/>
    <w:rsid w:val="575E405D"/>
    <w:rsid w:val="57684EDC"/>
    <w:rsid w:val="576C677A"/>
    <w:rsid w:val="577C44E3"/>
    <w:rsid w:val="577E5AAC"/>
    <w:rsid w:val="5785783C"/>
    <w:rsid w:val="57926E53"/>
    <w:rsid w:val="579502B5"/>
    <w:rsid w:val="579730CB"/>
    <w:rsid w:val="57A44166"/>
    <w:rsid w:val="57A51C8C"/>
    <w:rsid w:val="57AD5724"/>
    <w:rsid w:val="57BB325E"/>
    <w:rsid w:val="57C66C88"/>
    <w:rsid w:val="57EA390C"/>
    <w:rsid w:val="57EE3633"/>
    <w:rsid w:val="581D7A74"/>
    <w:rsid w:val="58232D44"/>
    <w:rsid w:val="583152CE"/>
    <w:rsid w:val="584C2108"/>
    <w:rsid w:val="5855720E"/>
    <w:rsid w:val="587760B9"/>
    <w:rsid w:val="587C29ED"/>
    <w:rsid w:val="589F2291"/>
    <w:rsid w:val="58C44394"/>
    <w:rsid w:val="591E3AA4"/>
    <w:rsid w:val="593037D7"/>
    <w:rsid w:val="5934151A"/>
    <w:rsid w:val="5934456C"/>
    <w:rsid w:val="59407EBE"/>
    <w:rsid w:val="59430949"/>
    <w:rsid w:val="59564EA1"/>
    <w:rsid w:val="59684D1F"/>
    <w:rsid w:val="5972012C"/>
    <w:rsid w:val="598558D1"/>
    <w:rsid w:val="598A5FEB"/>
    <w:rsid w:val="59C045AA"/>
    <w:rsid w:val="59C27A1D"/>
    <w:rsid w:val="59C77C98"/>
    <w:rsid w:val="59CB613D"/>
    <w:rsid w:val="59DB1995"/>
    <w:rsid w:val="59E00D5A"/>
    <w:rsid w:val="59F12F67"/>
    <w:rsid w:val="59FB3538"/>
    <w:rsid w:val="5A0F163F"/>
    <w:rsid w:val="5A1F7AD4"/>
    <w:rsid w:val="5A296BA4"/>
    <w:rsid w:val="5A307F33"/>
    <w:rsid w:val="5A315A59"/>
    <w:rsid w:val="5A3572F7"/>
    <w:rsid w:val="5A5E6EC6"/>
    <w:rsid w:val="5A64198B"/>
    <w:rsid w:val="5A655703"/>
    <w:rsid w:val="5A8042EB"/>
    <w:rsid w:val="5A89319F"/>
    <w:rsid w:val="5ABA5A4E"/>
    <w:rsid w:val="5ACC7530"/>
    <w:rsid w:val="5AD54636"/>
    <w:rsid w:val="5AE12FDB"/>
    <w:rsid w:val="5AEB5C08"/>
    <w:rsid w:val="5AF70A51"/>
    <w:rsid w:val="5AFA5E4B"/>
    <w:rsid w:val="5B597015"/>
    <w:rsid w:val="5B655951"/>
    <w:rsid w:val="5B8816A9"/>
    <w:rsid w:val="5B955B74"/>
    <w:rsid w:val="5BB57FC4"/>
    <w:rsid w:val="5BE54D4D"/>
    <w:rsid w:val="5BFC5BF3"/>
    <w:rsid w:val="5C1D44E7"/>
    <w:rsid w:val="5C25514A"/>
    <w:rsid w:val="5C361105"/>
    <w:rsid w:val="5C50666A"/>
    <w:rsid w:val="5C9C24B4"/>
    <w:rsid w:val="5CA644DC"/>
    <w:rsid w:val="5CB85FBE"/>
    <w:rsid w:val="5CD85A7F"/>
    <w:rsid w:val="5CDD5A24"/>
    <w:rsid w:val="5CE2799E"/>
    <w:rsid w:val="5CE96177"/>
    <w:rsid w:val="5D101956"/>
    <w:rsid w:val="5D1458EA"/>
    <w:rsid w:val="5D296EBB"/>
    <w:rsid w:val="5D331AE8"/>
    <w:rsid w:val="5D4D4958"/>
    <w:rsid w:val="5D5F468B"/>
    <w:rsid w:val="5D610403"/>
    <w:rsid w:val="5D740137"/>
    <w:rsid w:val="5D7A3273"/>
    <w:rsid w:val="5D7D08D2"/>
    <w:rsid w:val="5D9702C9"/>
    <w:rsid w:val="5DC15346"/>
    <w:rsid w:val="5DC80482"/>
    <w:rsid w:val="5DE22614"/>
    <w:rsid w:val="5DEF41AF"/>
    <w:rsid w:val="5DFB43B4"/>
    <w:rsid w:val="5E2C0A11"/>
    <w:rsid w:val="5E37504F"/>
    <w:rsid w:val="5E652175"/>
    <w:rsid w:val="5E693A13"/>
    <w:rsid w:val="5E7D301B"/>
    <w:rsid w:val="5EB42733"/>
    <w:rsid w:val="5ED6097D"/>
    <w:rsid w:val="5F116F60"/>
    <w:rsid w:val="5F1553F6"/>
    <w:rsid w:val="5F1644AF"/>
    <w:rsid w:val="5F1F40D2"/>
    <w:rsid w:val="5F3A715E"/>
    <w:rsid w:val="5F5244A8"/>
    <w:rsid w:val="5F683CCB"/>
    <w:rsid w:val="5F9156AE"/>
    <w:rsid w:val="5FD96977"/>
    <w:rsid w:val="5FD97355"/>
    <w:rsid w:val="5FDE21DF"/>
    <w:rsid w:val="5FEC1D6E"/>
    <w:rsid w:val="600C0AFA"/>
    <w:rsid w:val="6017749F"/>
    <w:rsid w:val="6028345A"/>
    <w:rsid w:val="602B5CC4"/>
    <w:rsid w:val="603441C9"/>
    <w:rsid w:val="604C0EF7"/>
    <w:rsid w:val="60730B79"/>
    <w:rsid w:val="607D3AB8"/>
    <w:rsid w:val="60956D42"/>
    <w:rsid w:val="60AA0313"/>
    <w:rsid w:val="60AC7409"/>
    <w:rsid w:val="60BE5ACE"/>
    <w:rsid w:val="60C03693"/>
    <w:rsid w:val="60C969EB"/>
    <w:rsid w:val="60D1764E"/>
    <w:rsid w:val="60D809DC"/>
    <w:rsid w:val="60E17538"/>
    <w:rsid w:val="61186D8B"/>
    <w:rsid w:val="611A2DA3"/>
    <w:rsid w:val="611D0AE5"/>
    <w:rsid w:val="61251E48"/>
    <w:rsid w:val="613025C6"/>
    <w:rsid w:val="6155202D"/>
    <w:rsid w:val="616E6168"/>
    <w:rsid w:val="61736957"/>
    <w:rsid w:val="61903065"/>
    <w:rsid w:val="61926DDD"/>
    <w:rsid w:val="61932B55"/>
    <w:rsid w:val="619854E1"/>
    <w:rsid w:val="61BB729A"/>
    <w:rsid w:val="61D75138"/>
    <w:rsid w:val="61DC3491"/>
    <w:rsid w:val="61DD76C8"/>
    <w:rsid w:val="620B4DE2"/>
    <w:rsid w:val="62175534"/>
    <w:rsid w:val="622A34BA"/>
    <w:rsid w:val="6239194F"/>
    <w:rsid w:val="62580A70"/>
    <w:rsid w:val="6263243A"/>
    <w:rsid w:val="626F35C2"/>
    <w:rsid w:val="62764951"/>
    <w:rsid w:val="62864468"/>
    <w:rsid w:val="629B6782"/>
    <w:rsid w:val="62A80882"/>
    <w:rsid w:val="62AE40EB"/>
    <w:rsid w:val="62B334AF"/>
    <w:rsid w:val="62D125D2"/>
    <w:rsid w:val="62D358FF"/>
    <w:rsid w:val="62F22925"/>
    <w:rsid w:val="63275C4B"/>
    <w:rsid w:val="633F4D43"/>
    <w:rsid w:val="63495BC1"/>
    <w:rsid w:val="636C5ADF"/>
    <w:rsid w:val="637C5F97"/>
    <w:rsid w:val="63987B81"/>
    <w:rsid w:val="63AB2C38"/>
    <w:rsid w:val="63CC0145"/>
    <w:rsid w:val="63D41D74"/>
    <w:rsid w:val="63D556A7"/>
    <w:rsid w:val="64144421"/>
    <w:rsid w:val="64216B3E"/>
    <w:rsid w:val="64286FF6"/>
    <w:rsid w:val="64300B2F"/>
    <w:rsid w:val="64322AF9"/>
    <w:rsid w:val="64395C36"/>
    <w:rsid w:val="643C54B3"/>
    <w:rsid w:val="64896555"/>
    <w:rsid w:val="64B02873"/>
    <w:rsid w:val="64B82FFF"/>
    <w:rsid w:val="6502023B"/>
    <w:rsid w:val="65150451"/>
    <w:rsid w:val="651E6BDA"/>
    <w:rsid w:val="6522491C"/>
    <w:rsid w:val="65242442"/>
    <w:rsid w:val="652C7549"/>
    <w:rsid w:val="65332685"/>
    <w:rsid w:val="653D3504"/>
    <w:rsid w:val="65404DA2"/>
    <w:rsid w:val="654A44AD"/>
    <w:rsid w:val="656767D3"/>
    <w:rsid w:val="657038D9"/>
    <w:rsid w:val="657B15F3"/>
    <w:rsid w:val="65874B05"/>
    <w:rsid w:val="659155FE"/>
    <w:rsid w:val="659375C8"/>
    <w:rsid w:val="659A2704"/>
    <w:rsid w:val="659D0447"/>
    <w:rsid w:val="65A74E21"/>
    <w:rsid w:val="65B55790"/>
    <w:rsid w:val="65B71508"/>
    <w:rsid w:val="65E44C87"/>
    <w:rsid w:val="65EE47FE"/>
    <w:rsid w:val="662B5A52"/>
    <w:rsid w:val="66811B16"/>
    <w:rsid w:val="66AA6977"/>
    <w:rsid w:val="66B75538"/>
    <w:rsid w:val="66CD49A5"/>
    <w:rsid w:val="66CF63DE"/>
    <w:rsid w:val="66EC3434"/>
    <w:rsid w:val="66FB71D3"/>
    <w:rsid w:val="67191D4F"/>
    <w:rsid w:val="67220C03"/>
    <w:rsid w:val="674D37A6"/>
    <w:rsid w:val="675608AD"/>
    <w:rsid w:val="67672ABA"/>
    <w:rsid w:val="676F196F"/>
    <w:rsid w:val="6773145F"/>
    <w:rsid w:val="67DA328C"/>
    <w:rsid w:val="67F325A0"/>
    <w:rsid w:val="681A18DB"/>
    <w:rsid w:val="681F15E7"/>
    <w:rsid w:val="68336E40"/>
    <w:rsid w:val="688356D2"/>
    <w:rsid w:val="689C5636"/>
    <w:rsid w:val="68D0643D"/>
    <w:rsid w:val="68DC1286"/>
    <w:rsid w:val="69794D27"/>
    <w:rsid w:val="697F233D"/>
    <w:rsid w:val="698A0CE2"/>
    <w:rsid w:val="69CF4947"/>
    <w:rsid w:val="69D02B99"/>
    <w:rsid w:val="69EB1780"/>
    <w:rsid w:val="6A026ACA"/>
    <w:rsid w:val="6A1B06CD"/>
    <w:rsid w:val="6A3019A1"/>
    <w:rsid w:val="6A415844"/>
    <w:rsid w:val="6A4E1D0F"/>
    <w:rsid w:val="6A5F5CCB"/>
    <w:rsid w:val="6A7C05BF"/>
    <w:rsid w:val="6AE14931"/>
    <w:rsid w:val="6AE306AA"/>
    <w:rsid w:val="6AE508C6"/>
    <w:rsid w:val="6AF26B3F"/>
    <w:rsid w:val="6AFE7291"/>
    <w:rsid w:val="6B174127"/>
    <w:rsid w:val="6B19056F"/>
    <w:rsid w:val="6B1C24C4"/>
    <w:rsid w:val="6B403D4E"/>
    <w:rsid w:val="6B6033AC"/>
    <w:rsid w:val="6B642A9D"/>
    <w:rsid w:val="6B6A2B79"/>
    <w:rsid w:val="6B712159"/>
    <w:rsid w:val="6B8359E9"/>
    <w:rsid w:val="6B916358"/>
    <w:rsid w:val="6B9876E6"/>
    <w:rsid w:val="6BB838E4"/>
    <w:rsid w:val="6BDF07CA"/>
    <w:rsid w:val="6BF40694"/>
    <w:rsid w:val="6BF960BA"/>
    <w:rsid w:val="6C101852"/>
    <w:rsid w:val="6C180827"/>
    <w:rsid w:val="6C1A0A9D"/>
    <w:rsid w:val="6C2E3BA6"/>
    <w:rsid w:val="6C407FC9"/>
    <w:rsid w:val="6C691BD8"/>
    <w:rsid w:val="6C6B0957"/>
    <w:rsid w:val="6C8B2DA7"/>
    <w:rsid w:val="6C90660F"/>
    <w:rsid w:val="6CA64085"/>
    <w:rsid w:val="6CB06CB1"/>
    <w:rsid w:val="6CB239D6"/>
    <w:rsid w:val="6CB73B9C"/>
    <w:rsid w:val="6CBF0CA2"/>
    <w:rsid w:val="6CD72490"/>
    <w:rsid w:val="6CE626D3"/>
    <w:rsid w:val="6CEE2395"/>
    <w:rsid w:val="6D147C45"/>
    <w:rsid w:val="6D4D4500"/>
    <w:rsid w:val="6D5238C5"/>
    <w:rsid w:val="6D6A6E60"/>
    <w:rsid w:val="6D851EEC"/>
    <w:rsid w:val="6D995997"/>
    <w:rsid w:val="6D9E2A69"/>
    <w:rsid w:val="6DB10915"/>
    <w:rsid w:val="6DD80774"/>
    <w:rsid w:val="6DF17581"/>
    <w:rsid w:val="6DFE57FA"/>
    <w:rsid w:val="6E001573"/>
    <w:rsid w:val="6E041063"/>
    <w:rsid w:val="6E0948CB"/>
    <w:rsid w:val="6E2F3C06"/>
    <w:rsid w:val="6E557B10"/>
    <w:rsid w:val="6E7B7CFA"/>
    <w:rsid w:val="6EED1AF7"/>
    <w:rsid w:val="6EF47329"/>
    <w:rsid w:val="6F033AFE"/>
    <w:rsid w:val="6F076F23"/>
    <w:rsid w:val="6F0A08FB"/>
    <w:rsid w:val="6F0B6421"/>
    <w:rsid w:val="6F0D03EB"/>
    <w:rsid w:val="6F2179F2"/>
    <w:rsid w:val="6F2805DA"/>
    <w:rsid w:val="6F2F0361"/>
    <w:rsid w:val="6F345978"/>
    <w:rsid w:val="6F377216"/>
    <w:rsid w:val="6F3E05A4"/>
    <w:rsid w:val="6F47002E"/>
    <w:rsid w:val="6F7453EA"/>
    <w:rsid w:val="6F946416"/>
    <w:rsid w:val="6FA714B5"/>
    <w:rsid w:val="6FB6638D"/>
    <w:rsid w:val="6FBC771B"/>
    <w:rsid w:val="6FC0545D"/>
    <w:rsid w:val="6FCF744E"/>
    <w:rsid w:val="700A492A"/>
    <w:rsid w:val="700B0FE6"/>
    <w:rsid w:val="700E61C9"/>
    <w:rsid w:val="701337DF"/>
    <w:rsid w:val="702020CF"/>
    <w:rsid w:val="703025E3"/>
    <w:rsid w:val="703D260A"/>
    <w:rsid w:val="70453BB5"/>
    <w:rsid w:val="706428DC"/>
    <w:rsid w:val="706A6400"/>
    <w:rsid w:val="706B361B"/>
    <w:rsid w:val="707149AA"/>
    <w:rsid w:val="70765C71"/>
    <w:rsid w:val="707B3132"/>
    <w:rsid w:val="709541F4"/>
    <w:rsid w:val="70A807DE"/>
    <w:rsid w:val="70D50A94"/>
    <w:rsid w:val="70E92792"/>
    <w:rsid w:val="70FA499F"/>
    <w:rsid w:val="70FC6C4E"/>
    <w:rsid w:val="70FE623D"/>
    <w:rsid w:val="710870BC"/>
    <w:rsid w:val="712910DB"/>
    <w:rsid w:val="713A7AAD"/>
    <w:rsid w:val="713F0604"/>
    <w:rsid w:val="71527879"/>
    <w:rsid w:val="71566079"/>
    <w:rsid w:val="715B0D25"/>
    <w:rsid w:val="715C7408"/>
    <w:rsid w:val="71722787"/>
    <w:rsid w:val="71946BA2"/>
    <w:rsid w:val="71AD7C63"/>
    <w:rsid w:val="71B92164"/>
    <w:rsid w:val="71BB412E"/>
    <w:rsid w:val="71CA25C3"/>
    <w:rsid w:val="71CF6169"/>
    <w:rsid w:val="71E511AB"/>
    <w:rsid w:val="71F15DA2"/>
    <w:rsid w:val="72021D5D"/>
    <w:rsid w:val="721101F2"/>
    <w:rsid w:val="72111FA0"/>
    <w:rsid w:val="72181581"/>
    <w:rsid w:val="7218332F"/>
    <w:rsid w:val="7221445D"/>
    <w:rsid w:val="72282418"/>
    <w:rsid w:val="723B0DCB"/>
    <w:rsid w:val="724B453C"/>
    <w:rsid w:val="725074DD"/>
    <w:rsid w:val="72606A84"/>
    <w:rsid w:val="728C7879"/>
    <w:rsid w:val="72903AFE"/>
    <w:rsid w:val="72BA6194"/>
    <w:rsid w:val="72CC1800"/>
    <w:rsid w:val="72EB0A43"/>
    <w:rsid w:val="72F15750"/>
    <w:rsid w:val="732142EA"/>
    <w:rsid w:val="734737A0"/>
    <w:rsid w:val="735C36EF"/>
    <w:rsid w:val="73634A7D"/>
    <w:rsid w:val="73722F12"/>
    <w:rsid w:val="73764B58"/>
    <w:rsid w:val="738F7621"/>
    <w:rsid w:val="73A2766E"/>
    <w:rsid w:val="73AA13BF"/>
    <w:rsid w:val="73C179F6"/>
    <w:rsid w:val="73D83DEB"/>
    <w:rsid w:val="73F237E9"/>
    <w:rsid w:val="73F751C6"/>
    <w:rsid w:val="74185868"/>
    <w:rsid w:val="74277859"/>
    <w:rsid w:val="743E2407"/>
    <w:rsid w:val="744A1799"/>
    <w:rsid w:val="7463285B"/>
    <w:rsid w:val="74732A9E"/>
    <w:rsid w:val="74A139FC"/>
    <w:rsid w:val="74C27582"/>
    <w:rsid w:val="74C94DB4"/>
    <w:rsid w:val="74EE65C9"/>
    <w:rsid w:val="75023E22"/>
    <w:rsid w:val="752D5343"/>
    <w:rsid w:val="75410DEE"/>
    <w:rsid w:val="75504B8E"/>
    <w:rsid w:val="757545F4"/>
    <w:rsid w:val="757840E4"/>
    <w:rsid w:val="75AB44BA"/>
    <w:rsid w:val="75AD1FE0"/>
    <w:rsid w:val="75C47BC1"/>
    <w:rsid w:val="75D02172"/>
    <w:rsid w:val="75DC59E6"/>
    <w:rsid w:val="75DF5F11"/>
    <w:rsid w:val="75FE45EA"/>
    <w:rsid w:val="7625601A"/>
    <w:rsid w:val="76257DC8"/>
    <w:rsid w:val="762878B8"/>
    <w:rsid w:val="762B73A9"/>
    <w:rsid w:val="763D16D8"/>
    <w:rsid w:val="765B5EE0"/>
    <w:rsid w:val="7671300D"/>
    <w:rsid w:val="76B4114C"/>
    <w:rsid w:val="76E063E5"/>
    <w:rsid w:val="76EE5567"/>
    <w:rsid w:val="76F53C3E"/>
    <w:rsid w:val="76F679B7"/>
    <w:rsid w:val="771F6F0D"/>
    <w:rsid w:val="773C3D7A"/>
    <w:rsid w:val="775766A7"/>
    <w:rsid w:val="776236B8"/>
    <w:rsid w:val="77754D7F"/>
    <w:rsid w:val="7782124A"/>
    <w:rsid w:val="778357C7"/>
    <w:rsid w:val="77A613DD"/>
    <w:rsid w:val="77B05DB7"/>
    <w:rsid w:val="77B238DE"/>
    <w:rsid w:val="77C67389"/>
    <w:rsid w:val="77E62B20"/>
    <w:rsid w:val="77F17B5B"/>
    <w:rsid w:val="78054355"/>
    <w:rsid w:val="78232A2D"/>
    <w:rsid w:val="784C1494"/>
    <w:rsid w:val="78695068"/>
    <w:rsid w:val="78A84CE1"/>
    <w:rsid w:val="78B83176"/>
    <w:rsid w:val="79054A04"/>
    <w:rsid w:val="79057077"/>
    <w:rsid w:val="790E7239"/>
    <w:rsid w:val="79252255"/>
    <w:rsid w:val="792C3B64"/>
    <w:rsid w:val="79352A18"/>
    <w:rsid w:val="79B853F7"/>
    <w:rsid w:val="79E8452C"/>
    <w:rsid w:val="79FE72AE"/>
    <w:rsid w:val="7A2160F8"/>
    <w:rsid w:val="7A523156"/>
    <w:rsid w:val="7A542CE8"/>
    <w:rsid w:val="7A776B52"/>
    <w:rsid w:val="7A9E502A"/>
    <w:rsid w:val="7AAA4D40"/>
    <w:rsid w:val="7AAF05A8"/>
    <w:rsid w:val="7AC048A7"/>
    <w:rsid w:val="7AF3010B"/>
    <w:rsid w:val="7B120190"/>
    <w:rsid w:val="7B2A40D3"/>
    <w:rsid w:val="7B3960C4"/>
    <w:rsid w:val="7B4A538E"/>
    <w:rsid w:val="7B65714C"/>
    <w:rsid w:val="7B777075"/>
    <w:rsid w:val="7B821819"/>
    <w:rsid w:val="7B986A6D"/>
    <w:rsid w:val="7BB51BEE"/>
    <w:rsid w:val="7BD227A0"/>
    <w:rsid w:val="7BDB1CFE"/>
    <w:rsid w:val="7BE442BF"/>
    <w:rsid w:val="7BF344C5"/>
    <w:rsid w:val="7BFD5343"/>
    <w:rsid w:val="7C0E57A2"/>
    <w:rsid w:val="7C106B54"/>
    <w:rsid w:val="7C170746"/>
    <w:rsid w:val="7C195991"/>
    <w:rsid w:val="7C2E374F"/>
    <w:rsid w:val="7C393BB1"/>
    <w:rsid w:val="7C3A6597"/>
    <w:rsid w:val="7C484810"/>
    <w:rsid w:val="7C531F8F"/>
    <w:rsid w:val="7C647170"/>
    <w:rsid w:val="7C8274E7"/>
    <w:rsid w:val="7C945CA8"/>
    <w:rsid w:val="7C9E2682"/>
    <w:rsid w:val="7CA77A17"/>
    <w:rsid w:val="7CE40689"/>
    <w:rsid w:val="7D000522"/>
    <w:rsid w:val="7D080444"/>
    <w:rsid w:val="7D0F0EEF"/>
    <w:rsid w:val="7D331240"/>
    <w:rsid w:val="7D3B79D2"/>
    <w:rsid w:val="7D4C20DE"/>
    <w:rsid w:val="7D565D1B"/>
    <w:rsid w:val="7D60202E"/>
    <w:rsid w:val="7D641B1E"/>
    <w:rsid w:val="7D6733BC"/>
    <w:rsid w:val="7D6A6721"/>
    <w:rsid w:val="7DC73E5B"/>
    <w:rsid w:val="7DC77830"/>
    <w:rsid w:val="7DCE6F97"/>
    <w:rsid w:val="7DD22D5B"/>
    <w:rsid w:val="7DDA3B8E"/>
    <w:rsid w:val="7DE02F37"/>
    <w:rsid w:val="7DE40569"/>
    <w:rsid w:val="7DE60785"/>
    <w:rsid w:val="7DF05160"/>
    <w:rsid w:val="7E257D31"/>
    <w:rsid w:val="7E282B4B"/>
    <w:rsid w:val="7E350DA2"/>
    <w:rsid w:val="7E485651"/>
    <w:rsid w:val="7E521976"/>
    <w:rsid w:val="7E553215"/>
    <w:rsid w:val="7E7538B7"/>
    <w:rsid w:val="7E755665"/>
    <w:rsid w:val="7E837D82"/>
    <w:rsid w:val="7E9755DB"/>
    <w:rsid w:val="7EA60184"/>
    <w:rsid w:val="7EEA7065"/>
    <w:rsid w:val="7EF90044"/>
    <w:rsid w:val="7F141322"/>
    <w:rsid w:val="7F196938"/>
    <w:rsid w:val="7F1E5CFC"/>
    <w:rsid w:val="7F4A4D43"/>
    <w:rsid w:val="7F531E4A"/>
    <w:rsid w:val="7F565496"/>
    <w:rsid w:val="7F5772CB"/>
    <w:rsid w:val="7F6000C3"/>
    <w:rsid w:val="7F6A7194"/>
    <w:rsid w:val="7F7D5797"/>
    <w:rsid w:val="7F87589E"/>
    <w:rsid w:val="7F8E0BEB"/>
    <w:rsid w:val="7F9B10FB"/>
    <w:rsid w:val="7FBD3767"/>
    <w:rsid w:val="7FC40652"/>
    <w:rsid w:val="7FDF723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unhideWhenUsed/>
    <w:qFormat/>
    <w:uiPriority w:val="99"/>
    <w:rPr>
      <w:rFonts w:cs="Times New Roman"/>
      <w:sz w:val="18"/>
      <w:szCs w:val="18"/>
    </w:rPr>
  </w:style>
  <w:style w:type="paragraph" w:styleId="3">
    <w:name w:val="footer"/>
    <w:basedOn w:val="1"/>
    <w:link w:val="16"/>
    <w:autoRedefine/>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autoRedefine/>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autoRedefine/>
    <w:unhideWhenUsed/>
    <w:qFormat/>
    <w:uiPriority w:val="99"/>
    <w:pPr>
      <w:snapToGrid w:val="0"/>
      <w:jc w:val="left"/>
    </w:pPr>
    <w:rPr>
      <w:rFonts w:cs="Times New Roman"/>
      <w:sz w:val="18"/>
      <w:szCs w:val="18"/>
    </w:rPr>
  </w:style>
  <w:style w:type="paragraph" w:styleId="6">
    <w:name w:val="Normal (Web)"/>
    <w:basedOn w:val="1"/>
    <w:autoRedefine/>
    <w:unhideWhenUsed/>
    <w:qFormat/>
    <w:uiPriority w:val="99"/>
    <w:pPr>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unhideWhenUsed/>
    <w:qFormat/>
    <w:uiPriority w:val="99"/>
    <w:rPr>
      <w:color w:val="3399FF"/>
      <w:u w:val="none"/>
    </w:rPr>
  </w:style>
  <w:style w:type="character" w:styleId="11">
    <w:name w:val="Hyperlink"/>
    <w:basedOn w:val="9"/>
    <w:autoRedefine/>
    <w:unhideWhenUsed/>
    <w:qFormat/>
    <w:uiPriority w:val="99"/>
    <w:rPr>
      <w:color w:val="3399FF"/>
      <w:u w:val="none"/>
    </w:rPr>
  </w:style>
  <w:style w:type="character" w:styleId="12">
    <w:name w:val="footnote reference"/>
    <w:autoRedefine/>
    <w:unhideWhenUsed/>
    <w:qFormat/>
    <w:uiPriority w:val="99"/>
    <w:rPr>
      <w:vertAlign w:val="superscript"/>
    </w:rPr>
  </w:style>
  <w:style w:type="character" w:customStyle="1" w:styleId="13">
    <w:name w:val="页眉 Char"/>
    <w:link w:val="4"/>
    <w:autoRedefine/>
    <w:qFormat/>
    <w:uiPriority w:val="0"/>
    <w:rPr>
      <w:rFonts w:ascii="Calibri" w:hAnsi="Calibri" w:cs="黑体"/>
      <w:kern w:val="2"/>
      <w:sz w:val="18"/>
      <w:szCs w:val="18"/>
    </w:rPr>
  </w:style>
  <w:style w:type="character" w:customStyle="1" w:styleId="14">
    <w:name w:val="脚注文本 Char"/>
    <w:link w:val="5"/>
    <w:autoRedefine/>
    <w:semiHidden/>
    <w:qFormat/>
    <w:uiPriority w:val="99"/>
    <w:rPr>
      <w:rFonts w:ascii="Calibri" w:hAnsi="Calibri" w:cs="黑体"/>
      <w:kern w:val="2"/>
      <w:sz w:val="18"/>
      <w:szCs w:val="18"/>
    </w:rPr>
  </w:style>
  <w:style w:type="character" w:customStyle="1" w:styleId="15">
    <w:name w:val="批注框文本 Char"/>
    <w:link w:val="2"/>
    <w:autoRedefine/>
    <w:semiHidden/>
    <w:qFormat/>
    <w:uiPriority w:val="99"/>
    <w:rPr>
      <w:rFonts w:ascii="Calibri" w:hAnsi="Calibri" w:cs="黑体"/>
      <w:kern w:val="2"/>
      <w:sz w:val="18"/>
      <w:szCs w:val="18"/>
    </w:rPr>
  </w:style>
  <w:style w:type="character" w:customStyle="1" w:styleId="16">
    <w:name w:val="页脚 Char"/>
    <w:link w:val="3"/>
    <w:autoRedefine/>
    <w:qFormat/>
    <w:uiPriority w:val="99"/>
    <w:rPr>
      <w:rFonts w:ascii="Calibri" w:hAnsi="Calibri" w:cs="黑体"/>
      <w:kern w:val="2"/>
      <w:sz w:val="18"/>
      <w:szCs w:val="18"/>
    </w:rPr>
  </w:style>
  <w:style w:type="paragraph" w:styleId="17">
    <w:name w:val="List Paragraph"/>
    <w:basedOn w:val="1"/>
    <w:autoRedefine/>
    <w:qFormat/>
    <w:uiPriority w:val="34"/>
    <w:pPr>
      <w:ind w:firstLine="420" w:firstLineChars="200"/>
    </w:pPr>
  </w:style>
  <w:style w:type="character" w:customStyle="1" w:styleId="18">
    <w:name w:val="font11"/>
    <w:basedOn w:val="9"/>
    <w:autoRedefine/>
    <w:qFormat/>
    <w:uiPriority w:val="0"/>
    <w:rPr>
      <w:rFonts w:hint="eastAsia" w:ascii="微软雅黑" w:hAnsi="微软雅黑" w:eastAsia="微软雅黑" w:cs="微软雅黑"/>
      <w:color w:val="000000"/>
      <w:sz w:val="24"/>
      <w:szCs w:val="24"/>
      <w:u w:val="none"/>
    </w:rPr>
  </w:style>
  <w:style w:type="character" w:customStyle="1" w:styleId="19">
    <w:name w:val="font21"/>
    <w:basedOn w:val="9"/>
    <w:autoRedefine/>
    <w:qFormat/>
    <w:uiPriority w:val="0"/>
    <w:rPr>
      <w:rFonts w:hint="eastAsia" w:ascii="宋体" w:hAnsi="宋体" w:eastAsia="宋体" w:cs="宋体"/>
      <w:color w:val="000000"/>
      <w:sz w:val="18"/>
      <w:szCs w:val="18"/>
      <w:u w:val="none"/>
    </w:rPr>
  </w:style>
  <w:style w:type="character" w:customStyle="1" w:styleId="20">
    <w:name w:val="font31"/>
    <w:basedOn w:val="9"/>
    <w:autoRedefine/>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3369</Words>
  <Characters>3411</Characters>
  <Lines>26</Lines>
  <Paragraphs>7</Paragraphs>
  <TotalTime>10</TotalTime>
  <ScaleCrop>false</ScaleCrop>
  <LinksUpToDate>false</LinksUpToDate>
  <CharactersWithSpaces>3519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cp:lastModifiedBy>
  <cp:lastPrinted>2022-04-12T06:17:00Z</cp:lastPrinted>
  <dcterms:modified xsi:type="dcterms:W3CDTF">2024-03-25T01:02:46Z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A1476A3C0EEC455CA03ABE6CDF4213CA_13</vt:lpwstr>
  </property>
</Properties>
</file>