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left"/>
        <w:rPr>
          <w:rFonts w:hint="eastAsia" w:ascii="黑体" w:hAnsi="黑体" w:eastAsia="黑体" w:cs="黑体"/>
          <w:sz w:val="30"/>
          <w:szCs w:val="30"/>
        </w:rPr>
      </w:pPr>
      <w:r>
        <w:rPr>
          <w:rFonts w:hint="eastAsia" w:ascii="黑体" w:hAnsi="黑体" w:eastAsia="黑体" w:cs="黑体"/>
          <w:sz w:val="30"/>
          <w:szCs w:val="30"/>
        </w:rPr>
        <w:t>附件1</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电子签名系统硬件维保设备清单</w:t>
      </w:r>
    </w:p>
    <w:p>
      <w:pPr>
        <w:pStyle w:val="2"/>
        <w:rPr>
          <w:rFonts w:hint="eastAsia"/>
        </w:rPr>
      </w:pPr>
      <w:bookmarkStart w:id="0" w:name="_GoBack"/>
      <w:bookmarkEnd w:id="0"/>
    </w:p>
    <w:tbl>
      <w:tblPr>
        <w:tblStyle w:val="12"/>
        <w:tblW w:w="8752" w:type="dxa"/>
        <w:jc w:val="center"/>
        <w:tblLayout w:type="autofit"/>
        <w:tblCellMar>
          <w:top w:w="0" w:type="dxa"/>
          <w:left w:w="108" w:type="dxa"/>
          <w:bottom w:w="0" w:type="dxa"/>
          <w:right w:w="108" w:type="dxa"/>
        </w:tblCellMar>
      </w:tblPr>
      <w:tblGrid>
        <w:gridCol w:w="518"/>
        <w:gridCol w:w="1354"/>
        <w:gridCol w:w="1221"/>
        <w:gridCol w:w="1866"/>
        <w:gridCol w:w="816"/>
        <w:gridCol w:w="518"/>
        <w:gridCol w:w="985"/>
        <w:gridCol w:w="1474"/>
      </w:tblGrid>
      <w:tr>
        <w:tblPrEx>
          <w:tblCellMar>
            <w:top w:w="0" w:type="dxa"/>
            <w:left w:w="108" w:type="dxa"/>
            <w:bottom w:w="0" w:type="dxa"/>
            <w:right w:w="108" w:type="dxa"/>
          </w:tblCellMar>
        </w:tblPrEx>
        <w:trPr>
          <w:trHeight w:val="329" w:hRule="atLeast"/>
          <w:jc w:val="center"/>
        </w:trPr>
        <w:tc>
          <w:tcPr>
            <w:tcW w:w="5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序号</w:t>
            </w:r>
          </w:p>
        </w:tc>
        <w:tc>
          <w:tcPr>
            <w:tcW w:w="1354" w:type="dxa"/>
            <w:tcBorders>
              <w:top w:val="single" w:color="auto" w:sz="4" w:space="0"/>
              <w:left w:val="nil"/>
              <w:bottom w:val="single" w:color="auto" w:sz="4" w:space="0"/>
              <w:right w:val="single" w:color="auto" w:sz="4" w:space="0"/>
            </w:tcBorders>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维保</w:t>
            </w:r>
          </w:p>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类型</w:t>
            </w:r>
          </w:p>
        </w:tc>
        <w:tc>
          <w:tcPr>
            <w:tcW w:w="12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产品</w:t>
            </w:r>
          </w:p>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名称</w:t>
            </w:r>
          </w:p>
        </w:tc>
        <w:tc>
          <w:tcPr>
            <w:tcW w:w="186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规格型号</w:t>
            </w:r>
          </w:p>
        </w:tc>
        <w:tc>
          <w:tcPr>
            <w:tcW w:w="81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品牌</w:t>
            </w:r>
          </w:p>
        </w:tc>
        <w:tc>
          <w:tcPr>
            <w:tcW w:w="518"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单位</w:t>
            </w:r>
          </w:p>
        </w:tc>
        <w:tc>
          <w:tcPr>
            <w:tcW w:w="98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数量</w:t>
            </w:r>
          </w:p>
        </w:tc>
        <w:tc>
          <w:tcPr>
            <w:tcW w:w="147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保修内容</w:t>
            </w:r>
          </w:p>
        </w:tc>
      </w:tr>
      <w:tr>
        <w:tblPrEx>
          <w:tblCellMar>
            <w:top w:w="0" w:type="dxa"/>
            <w:left w:w="108" w:type="dxa"/>
            <w:bottom w:w="0" w:type="dxa"/>
            <w:right w:w="108" w:type="dxa"/>
          </w:tblCellMar>
        </w:tblPrEx>
        <w:trPr>
          <w:trHeight w:val="1612" w:hRule="exact"/>
          <w:jc w:val="center"/>
        </w:trPr>
        <w:tc>
          <w:tcPr>
            <w:tcW w:w="518" w:type="dxa"/>
            <w:vMerge w:val="restart"/>
            <w:tcBorders>
              <w:top w:val="nil"/>
              <w:left w:val="single" w:color="auto" w:sz="4" w:space="0"/>
              <w:right w:val="single" w:color="auto" w:sz="4" w:space="0"/>
            </w:tcBorders>
            <w:shd w:val="clear" w:color="auto" w:fill="auto"/>
            <w:vAlign w:val="center"/>
          </w:tcPr>
          <w:p>
            <w:pPr>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1354" w:type="dxa"/>
            <w:vMerge w:val="restart"/>
            <w:tcBorders>
              <w:top w:val="single" w:color="auto" w:sz="4" w:space="0"/>
              <w:left w:val="nil"/>
              <w:right w:val="single" w:color="auto" w:sz="4" w:space="0"/>
            </w:tcBorders>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硬件</w:t>
            </w:r>
          </w:p>
        </w:tc>
        <w:tc>
          <w:tcPr>
            <w:tcW w:w="12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签名验签专用设备</w:t>
            </w:r>
          </w:p>
        </w:tc>
        <w:tc>
          <w:tcPr>
            <w:tcW w:w="186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DSVS2000</w:t>
            </w:r>
          </w:p>
        </w:tc>
        <w:tc>
          <w:tcPr>
            <w:tcW w:w="81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BJCA</w:t>
            </w:r>
          </w:p>
        </w:tc>
        <w:tc>
          <w:tcPr>
            <w:tcW w:w="518"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台</w:t>
            </w:r>
          </w:p>
        </w:tc>
        <w:tc>
          <w:tcPr>
            <w:tcW w:w="985"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1474" w:type="dxa"/>
            <w:vMerge w:val="restart"/>
            <w:tcBorders>
              <w:top w:val="nil"/>
              <w:left w:val="nil"/>
              <w:right w:val="single" w:color="auto" w:sz="4" w:space="0"/>
            </w:tcBorders>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人工+配件</w:t>
            </w:r>
          </w:p>
        </w:tc>
      </w:tr>
      <w:tr>
        <w:tblPrEx>
          <w:tblCellMar>
            <w:top w:w="0" w:type="dxa"/>
            <w:left w:w="108" w:type="dxa"/>
            <w:bottom w:w="0" w:type="dxa"/>
            <w:right w:w="108" w:type="dxa"/>
          </w:tblCellMar>
        </w:tblPrEx>
        <w:trPr>
          <w:trHeight w:val="1545" w:hRule="exact"/>
          <w:jc w:val="center"/>
        </w:trPr>
        <w:tc>
          <w:tcPr>
            <w:tcW w:w="518" w:type="dxa"/>
            <w:vMerge w:val="continue"/>
            <w:tcBorders>
              <w:left w:val="single" w:color="auto" w:sz="4" w:space="0"/>
              <w:right w:val="single" w:color="auto" w:sz="4" w:space="0"/>
            </w:tcBorders>
            <w:shd w:val="clear" w:color="auto" w:fill="auto"/>
            <w:vAlign w:val="center"/>
          </w:tcPr>
          <w:p>
            <w:pPr>
              <w:jc w:val="center"/>
              <w:rPr>
                <w:rFonts w:hint="eastAsia" w:ascii="仿宋" w:hAnsi="仿宋" w:eastAsia="仿宋" w:cs="仿宋"/>
                <w:kern w:val="0"/>
                <w:sz w:val="24"/>
                <w:szCs w:val="24"/>
              </w:rPr>
            </w:pPr>
          </w:p>
        </w:tc>
        <w:tc>
          <w:tcPr>
            <w:tcW w:w="1354" w:type="dxa"/>
            <w:vMerge w:val="continue"/>
            <w:tcBorders>
              <w:left w:val="nil"/>
              <w:right w:val="single" w:color="auto" w:sz="4" w:space="0"/>
            </w:tcBorders>
            <w:vAlign w:val="center"/>
          </w:tcPr>
          <w:p>
            <w:pPr>
              <w:widowControl/>
              <w:jc w:val="center"/>
              <w:rPr>
                <w:rFonts w:hint="eastAsia" w:ascii="仿宋" w:hAnsi="仿宋" w:eastAsia="仿宋" w:cs="仿宋"/>
                <w:kern w:val="0"/>
                <w:sz w:val="24"/>
                <w:szCs w:val="24"/>
              </w:rPr>
            </w:pPr>
          </w:p>
        </w:tc>
        <w:tc>
          <w:tcPr>
            <w:tcW w:w="12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时间戳专用设备</w:t>
            </w:r>
          </w:p>
        </w:tc>
        <w:tc>
          <w:tcPr>
            <w:tcW w:w="186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TSS2000</w:t>
            </w:r>
          </w:p>
        </w:tc>
        <w:tc>
          <w:tcPr>
            <w:tcW w:w="81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BJCA</w:t>
            </w:r>
          </w:p>
        </w:tc>
        <w:tc>
          <w:tcPr>
            <w:tcW w:w="518"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台</w:t>
            </w:r>
          </w:p>
        </w:tc>
        <w:tc>
          <w:tcPr>
            <w:tcW w:w="985"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1474" w:type="dxa"/>
            <w:vMerge w:val="continue"/>
            <w:tcBorders>
              <w:left w:val="nil"/>
              <w:right w:val="single" w:color="auto" w:sz="4" w:space="0"/>
            </w:tcBorders>
            <w:shd w:val="clear" w:color="auto" w:fill="auto"/>
            <w:noWrap/>
            <w:vAlign w:val="center"/>
          </w:tcPr>
          <w:p>
            <w:pPr>
              <w:jc w:val="center"/>
              <w:rPr>
                <w:rFonts w:hint="eastAsia" w:ascii="仿宋" w:hAnsi="仿宋" w:eastAsia="仿宋" w:cs="仿宋"/>
                <w:kern w:val="0"/>
                <w:sz w:val="24"/>
                <w:szCs w:val="24"/>
              </w:rPr>
            </w:pPr>
          </w:p>
        </w:tc>
      </w:tr>
      <w:tr>
        <w:tblPrEx>
          <w:tblCellMar>
            <w:top w:w="0" w:type="dxa"/>
            <w:left w:w="108" w:type="dxa"/>
            <w:bottom w:w="0" w:type="dxa"/>
            <w:right w:w="108" w:type="dxa"/>
          </w:tblCellMar>
        </w:tblPrEx>
        <w:trPr>
          <w:trHeight w:val="1992" w:hRule="exact"/>
          <w:jc w:val="center"/>
        </w:trPr>
        <w:tc>
          <w:tcPr>
            <w:tcW w:w="518" w:type="dxa"/>
            <w:vMerge w:val="continue"/>
            <w:tcBorders>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p>
        </w:tc>
        <w:tc>
          <w:tcPr>
            <w:tcW w:w="1354" w:type="dxa"/>
            <w:vMerge w:val="continue"/>
            <w:tcBorders>
              <w:left w:val="nil"/>
              <w:bottom w:val="single" w:color="auto" w:sz="4" w:space="0"/>
              <w:right w:val="single" w:color="auto" w:sz="4" w:space="0"/>
            </w:tcBorders>
            <w:vAlign w:val="center"/>
          </w:tcPr>
          <w:p>
            <w:pPr>
              <w:widowControl/>
              <w:jc w:val="center"/>
              <w:rPr>
                <w:rFonts w:hint="eastAsia" w:ascii="仿宋" w:hAnsi="仿宋" w:eastAsia="仿宋" w:cs="仿宋"/>
                <w:kern w:val="0"/>
                <w:sz w:val="24"/>
                <w:szCs w:val="24"/>
              </w:rPr>
            </w:pPr>
          </w:p>
        </w:tc>
        <w:tc>
          <w:tcPr>
            <w:tcW w:w="12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手写数字签名专用设备</w:t>
            </w:r>
          </w:p>
        </w:tc>
        <w:tc>
          <w:tcPr>
            <w:tcW w:w="186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AnySign3050</w:t>
            </w:r>
          </w:p>
        </w:tc>
        <w:tc>
          <w:tcPr>
            <w:tcW w:w="81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BJCA</w:t>
            </w:r>
          </w:p>
        </w:tc>
        <w:tc>
          <w:tcPr>
            <w:tcW w:w="518"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台</w:t>
            </w:r>
          </w:p>
        </w:tc>
        <w:tc>
          <w:tcPr>
            <w:tcW w:w="985"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1474" w:type="dxa"/>
            <w:vMerge w:val="continue"/>
            <w:tcBorders>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kern w:val="0"/>
                <w:sz w:val="24"/>
                <w:szCs w:val="24"/>
              </w:rPr>
            </w:pPr>
          </w:p>
        </w:tc>
      </w:tr>
      <w:tr>
        <w:tblPrEx>
          <w:tblCellMar>
            <w:top w:w="0" w:type="dxa"/>
            <w:left w:w="108" w:type="dxa"/>
            <w:bottom w:w="0" w:type="dxa"/>
            <w:right w:w="108" w:type="dxa"/>
          </w:tblCellMar>
        </w:tblPrEx>
        <w:trPr>
          <w:trHeight w:val="1914" w:hRule="exact"/>
          <w:jc w:val="center"/>
        </w:trPr>
        <w:tc>
          <w:tcPr>
            <w:tcW w:w="5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1354" w:type="dxa"/>
            <w:tcBorders>
              <w:top w:val="single" w:color="auto" w:sz="4" w:space="0"/>
              <w:left w:val="nil"/>
              <w:bottom w:val="single" w:color="auto" w:sz="4" w:space="0"/>
              <w:right w:val="single" w:color="auto" w:sz="4" w:space="0"/>
            </w:tcBorders>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软件系统</w:t>
            </w:r>
          </w:p>
        </w:tc>
        <w:tc>
          <w:tcPr>
            <w:tcW w:w="12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整体电子签名系统维护</w:t>
            </w:r>
          </w:p>
        </w:tc>
        <w:tc>
          <w:tcPr>
            <w:tcW w:w="186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p>
        </w:tc>
        <w:tc>
          <w:tcPr>
            <w:tcW w:w="81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BJCA</w:t>
            </w:r>
          </w:p>
        </w:tc>
        <w:tc>
          <w:tcPr>
            <w:tcW w:w="518"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套</w:t>
            </w:r>
          </w:p>
        </w:tc>
        <w:tc>
          <w:tcPr>
            <w:tcW w:w="98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1474"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kern w:val="0"/>
                <w:sz w:val="24"/>
                <w:szCs w:val="24"/>
              </w:rPr>
            </w:pPr>
          </w:p>
        </w:tc>
      </w:tr>
    </w:tbl>
    <w:p>
      <w:pPr>
        <w:spacing w:line="360" w:lineRule="auto"/>
        <w:ind w:firstLine="420" w:firstLineChars="200"/>
      </w:pPr>
    </w:p>
    <w:p>
      <w:pPr>
        <w:widowControl/>
        <w:jc w:val="left"/>
      </w:pPr>
      <w:r>
        <w:br w:type="page"/>
      </w:r>
    </w:p>
    <w:p>
      <w:pPr>
        <w:spacing w:line="360" w:lineRule="auto"/>
        <w:jc w:val="left"/>
        <w:rPr>
          <w:rFonts w:hint="eastAsia" w:ascii="黑体" w:hAnsi="黑体" w:eastAsia="黑体" w:cs="黑体"/>
          <w:sz w:val="30"/>
          <w:szCs w:val="30"/>
        </w:rPr>
      </w:pPr>
      <w:r>
        <w:rPr>
          <w:rFonts w:hint="eastAsia" w:ascii="黑体" w:hAnsi="黑体" w:eastAsia="黑体" w:cs="黑体"/>
          <w:sz w:val="30"/>
          <w:szCs w:val="30"/>
          <w:lang w:eastAsia="zh-CN"/>
        </w:rPr>
        <w:t>附件</w:t>
      </w:r>
      <w:r>
        <w:rPr>
          <w:rFonts w:hint="eastAsia" w:ascii="黑体" w:hAnsi="黑体" w:eastAsia="黑体" w:cs="黑体"/>
          <w:sz w:val="30"/>
          <w:szCs w:val="30"/>
        </w:rPr>
        <w:t>2</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运维服务内容及方式</w:t>
      </w:r>
    </w:p>
    <w:p>
      <w:pPr>
        <w:keepNext w:val="0"/>
        <w:keepLines w:val="0"/>
        <w:pageBreakBefore w:val="0"/>
        <w:kinsoku/>
        <w:wordWrap/>
        <w:overflowPunct/>
        <w:topLinePunct w:val="0"/>
        <w:autoSpaceDE/>
        <w:autoSpaceDN/>
        <w:bidi w:val="0"/>
        <w:adjustRightInd/>
        <w:snapToGrid/>
        <w:spacing w:line="360" w:lineRule="auto"/>
        <w:ind w:firstLine="600" w:firstLineChars="200"/>
        <w:jc w:val="both"/>
        <w:textAlignment w:val="auto"/>
        <w:rPr>
          <w:rFonts w:hint="eastAsia" w:ascii="仿宋" w:hAnsi="仿宋" w:eastAsia="仿宋" w:cs="仿宋"/>
          <w:sz w:val="30"/>
          <w:szCs w:val="30"/>
          <w:lang w:eastAsia="zh-CN"/>
        </w:rPr>
      </w:pPr>
    </w:p>
    <w:p>
      <w:pPr>
        <w:keepNext w:val="0"/>
        <w:keepLines w:val="0"/>
        <w:pageBreakBefore w:val="0"/>
        <w:kinsoku/>
        <w:wordWrap/>
        <w:overflowPunct/>
        <w:topLinePunct w:val="0"/>
        <w:autoSpaceDE/>
        <w:autoSpaceDN/>
        <w:bidi w:val="0"/>
        <w:adjustRightInd/>
        <w:snapToGrid/>
        <w:spacing w:line="360" w:lineRule="auto"/>
        <w:ind w:firstLine="602" w:firstLineChars="200"/>
        <w:jc w:val="both"/>
        <w:textAlignment w:val="auto"/>
        <w:rPr>
          <w:rFonts w:hint="eastAsia" w:ascii="仿宋" w:hAnsi="仿宋" w:eastAsia="仿宋" w:cs="仿宋"/>
          <w:b/>
          <w:bCs/>
          <w:sz w:val="30"/>
          <w:szCs w:val="30"/>
        </w:rPr>
      </w:pPr>
      <w:r>
        <w:rPr>
          <w:rFonts w:hint="eastAsia" w:ascii="仿宋" w:hAnsi="仿宋" w:eastAsia="仿宋" w:cs="仿宋"/>
          <w:b/>
          <w:bCs/>
          <w:sz w:val="30"/>
          <w:szCs w:val="30"/>
          <w:lang w:eastAsia="zh-CN"/>
        </w:rPr>
        <w:t>一、</w:t>
      </w:r>
      <w:r>
        <w:rPr>
          <w:rFonts w:hint="eastAsia" w:ascii="仿宋" w:hAnsi="仿宋" w:eastAsia="仿宋" w:cs="仿宋"/>
          <w:b/>
          <w:bCs/>
          <w:sz w:val="30"/>
          <w:szCs w:val="30"/>
        </w:rPr>
        <w:t>硬件维保内容</w:t>
      </w:r>
    </w:p>
    <w:p>
      <w:pPr>
        <w:pStyle w:val="27"/>
        <w:keepNext w:val="0"/>
        <w:keepLines w:val="0"/>
        <w:pageBreakBefore w:val="0"/>
        <w:numPr>
          <w:ilvl w:val="0"/>
          <w:numId w:val="0"/>
        </w:numPr>
        <w:tabs>
          <w:tab w:val="left" w:pos="993"/>
          <w:tab w:val="center" w:pos="4393"/>
        </w:tabs>
        <w:kinsoku/>
        <w:wordWrap/>
        <w:overflowPunct/>
        <w:topLinePunct w:val="0"/>
        <w:autoSpaceDE/>
        <w:autoSpaceDN/>
        <w:bidi w:val="0"/>
        <w:adjustRightInd/>
        <w:snapToGrid/>
        <w:spacing w:line="360" w:lineRule="auto"/>
        <w:ind w:firstLine="600" w:firstLineChars="200"/>
        <w:jc w:val="both"/>
        <w:textAlignment w:val="auto"/>
        <w:rPr>
          <w:rFonts w:hint="eastAsia" w:ascii="仿宋" w:hAnsi="仿宋" w:eastAsia="仿宋" w:cs="仿宋"/>
          <w:sz w:val="30"/>
          <w:szCs w:val="30"/>
        </w:rPr>
      </w:pPr>
      <w:r>
        <w:rPr>
          <w:rFonts w:hint="eastAsia" w:ascii="仿宋" w:hAnsi="仿宋" w:eastAsia="仿宋" w:cs="仿宋"/>
          <w:sz w:val="30"/>
          <w:szCs w:val="30"/>
          <w:lang w:val="en-US" w:eastAsia="zh-CN"/>
        </w:rPr>
        <w:t>1、</w:t>
      </w:r>
      <w:r>
        <w:rPr>
          <w:rFonts w:hint="eastAsia" w:ascii="仿宋" w:hAnsi="仿宋" w:eastAsia="仿宋" w:cs="仿宋"/>
          <w:sz w:val="30"/>
          <w:szCs w:val="30"/>
        </w:rPr>
        <w:t>潜在供应商负责对清单中硬件专用设备，提供7*24小时技术支持服务。服务器故障10分钟内响应，2小时内到达现场。如果设备故障4小时内无法修复，提供备机直至故障修复。</w:t>
      </w:r>
    </w:p>
    <w:p>
      <w:pPr>
        <w:pStyle w:val="27"/>
        <w:keepNext w:val="0"/>
        <w:keepLines w:val="0"/>
        <w:pageBreakBefore w:val="0"/>
        <w:numPr>
          <w:ilvl w:val="0"/>
          <w:numId w:val="0"/>
        </w:numPr>
        <w:tabs>
          <w:tab w:val="left" w:pos="993"/>
          <w:tab w:val="center" w:pos="4393"/>
        </w:tabs>
        <w:kinsoku/>
        <w:wordWrap/>
        <w:overflowPunct/>
        <w:topLinePunct w:val="0"/>
        <w:autoSpaceDE/>
        <w:autoSpaceDN/>
        <w:bidi w:val="0"/>
        <w:adjustRightInd/>
        <w:snapToGrid/>
        <w:spacing w:line="360" w:lineRule="auto"/>
        <w:ind w:firstLine="600" w:firstLineChars="200"/>
        <w:jc w:val="both"/>
        <w:textAlignment w:val="auto"/>
        <w:rPr>
          <w:rFonts w:hint="eastAsia" w:ascii="仿宋" w:hAnsi="仿宋" w:eastAsia="仿宋" w:cs="仿宋"/>
          <w:sz w:val="30"/>
          <w:szCs w:val="30"/>
        </w:rPr>
      </w:pPr>
      <w:r>
        <w:rPr>
          <w:rFonts w:hint="eastAsia" w:ascii="仿宋" w:hAnsi="仿宋" w:eastAsia="仿宋" w:cs="仿宋"/>
          <w:sz w:val="30"/>
          <w:szCs w:val="30"/>
          <w:lang w:val="en-US" w:eastAsia="zh-CN"/>
        </w:rPr>
        <w:t>2、</w:t>
      </w:r>
      <w:r>
        <w:rPr>
          <w:rFonts w:hint="eastAsia" w:ascii="仿宋" w:hAnsi="仿宋" w:eastAsia="仿宋" w:cs="仿宋"/>
          <w:sz w:val="30"/>
          <w:szCs w:val="30"/>
        </w:rPr>
        <w:t>在系统出现不正常或者操作疑难的情况下，提供电话咨询、电子邮件以及人工咨询等多种服务方式，并根据问题等级可以现场解决问题。</w:t>
      </w:r>
    </w:p>
    <w:p>
      <w:pPr>
        <w:pStyle w:val="27"/>
        <w:keepNext w:val="0"/>
        <w:keepLines w:val="0"/>
        <w:pageBreakBefore w:val="0"/>
        <w:numPr>
          <w:ilvl w:val="0"/>
          <w:numId w:val="0"/>
        </w:numPr>
        <w:tabs>
          <w:tab w:val="left" w:pos="993"/>
          <w:tab w:val="center" w:pos="4393"/>
        </w:tabs>
        <w:kinsoku/>
        <w:wordWrap/>
        <w:overflowPunct/>
        <w:topLinePunct w:val="0"/>
        <w:autoSpaceDE/>
        <w:autoSpaceDN/>
        <w:bidi w:val="0"/>
        <w:adjustRightInd/>
        <w:snapToGrid/>
        <w:spacing w:line="360" w:lineRule="auto"/>
        <w:ind w:firstLine="600" w:firstLineChars="200"/>
        <w:jc w:val="both"/>
        <w:textAlignment w:val="auto"/>
        <w:rPr>
          <w:rFonts w:hint="eastAsia" w:ascii="仿宋" w:hAnsi="仿宋" w:eastAsia="仿宋" w:cs="仿宋"/>
          <w:sz w:val="30"/>
          <w:szCs w:val="30"/>
        </w:rPr>
      </w:pPr>
      <w:r>
        <w:rPr>
          <w:rFonts w:hint="eastAsia" w:ascii="仿宋" w:hAnsi="仿宋" w:eastAsia="仿宋" w:cs="仿宋"/>
          <w:sz w:val="30"/>
          <w:szCs w:val="30"/>
          <w:lang w:val="en-US" w:eastAsia="zh-CN"/>
        </w:rPr>
        <w:t>3、</w:t>
      </w:r>
      <w:r>
        <w:rPr>
          <w:rFonts w:hint="eastAsia" w:ascii="仿宋" w:hAnsi="仿宋" w:eastAsia="仿宋" w:cs="仿宋"/>
          <w:sz w:val="30"/>
          <w:szCs w:val="30"/>
        </w:rPr>
        <w:t>潜在供应商提供备件快速替用服务及维修服务，即保障采购方业务持续性，保障业务优先恢复。</w:t>
      </w:r>
    </w:p>
    <w:p>
      <w:pPr>
        <w:keepNext w:val="0"/>
        <w:keepLines w:val="0"/>
        <w:pageBreakBefore w:val="0"/>
        <w:widowControl/>
        <w:kinsoku/>
        <w:wordWrap/>
        <w:overflowPunct/>
        <w:topLinePunct w:val="0"/>
        <w:autoSpaceDE/>
        <w:autoSpaceDN/>
        <w:bidi w:val="0"/>
        <w:adjustRightInd/>
        <w:snapToGrid/>
        <w:ind w:firstLine="602" w:firstLineChars="200"/>
        <w:jc w:val="both"/>
        <w:textAlignment w:val="auto"/>
        <w:rPr>
          <w:rFonts w:hint="eastAsia" w:ascii="仿宋" w:hAnsi="仿宋" w:eastAsia="仿宋" w:cs="仿宋"/>
          <w:sz w:val="30"/>
          <w:szCs w:val="30"/>
        </w:rPr>
      </w:pPr>
      <w:r>
        <w:rPr>
          <w:rFonts w:hint="eastAsia" w:ascii="仿宋" w:hAnsi="仿宋" w:eastAsia="仿宋" w:cs="仿宋"/>
          <w:b/>
          <w:bCs/>
          <w:sz w:val="30"/>
          <w:szCs w:val="30"/>
          <w:lang w:eastAsia="zh-CN"/>
        </w:rPr>
        <w:t>二、软件维保内容</w:t>
      </w:r>
    </w:p>
    <w:p>
      <w:pPr>
        <w:keepNext w:val="0"/>
        <w:keepLines w:val="0"/>
        <w:pageBreakBefore w:val="0"/>
        <w:widowControl/>
        <w:numPr>
          <w:ilvl w:val="0"/>
          <w:numId w:val="2"/>
        </w:numPr>
        <w:kinsoku/>
        <w:wordWrap/>
        <w:overflowPunct/>
        <w:topLinePunct w:val="0"/>
        <w:autoSpaceDE/>
        <w:autoSpaceDN/>
        <w:bidi w:val="0"/>
        <w:adjustRightInd/>
        <w:snapToGrid/>
        <w:ind w:firstLine="600" w:firstLineChars="200"/>
        <w:jc w:val="both"/>
        <w:textAlignment w:val="auto"/>
        <w:rPr>
          <w:rFonts w:hint="eastAsia" w:ascii="仿宋" w:hAnsi="仿宋" w:eastAsia="仿宋" w:cs="仿宋"/>
          <w:kern w:val="2"/>
          <w:sz w:val="30"/>
          <w:szCs w:val="30"/>
        </w:rPr>
      </w:pPr>
      <w:r>
        <w:rPr>
          <w:rFonts w:hint="eastAsia" w:ascii="仿宋" w:hAnsi="仿宋" w:eastAsia="仿宋" w:cs="仿宋"/>
          <w:kern w:val="2"/>
          <w:sz w:val="30"/>
          <w:szCs w:val="30"/>
        </w:rPr>
        <w:t>服务范围：供应商为采购人在广元市精神卫生中心提供的电子签名系统软件产品。</w:t>
      </w:r>
    </w:p>
    <w:p>
      <w:pPr>
        <w:keepNext w:val="0"/>
        <w:keepLines w:val="0"/>
        <w:pageBreakBefore w:val="0"/>
        <w:widowControl/>
        <w:numPr>
          <w:ilvl w:val="0"/>
          <w:numId w:val="2"/>
        </w:numPr>
        <w:kinsoku/>
        <w:wordWrap/>
        <w:overflowPunct/>
        <w:topLinePunct w:val="0"/>
        <w:autoSpaceDE/>
        <w:autoSpaceDN/>
        <w:bidi w:val="0"/>
        <w:adjustRightInd/>
        <w:snapToGrid/>
        <w:ind w:firstLine="600" w:firstLineChars="200"/>
        <w:jc w:val="both"/>
        <w:textAlignment w:val="auto"/>
        <w:rPr>
          <w:rFonts w:hint="eastAsia" w:ascii="仿宋" w:hAnsi="仿宋" w:eastAsia="仿宋" w:cs="仿宋"/>
          <w:kern w:val="2"/>
          <w:sz w:val="30"/>
          <w:szCs w:val="30"/>
        </w:rPr>
      </w:pPr>
      <w:r>
        <w:rPr>
          <w:rFonts w:hint="eastAsia" w:ascii="仿宋" w:hAnsi="仿宋" w:eastAsia="仿宋" w:cs="仿宋"/>
          <w:kern w:val="2"/>
          <w:sz w:val="30"/>
          <w:szCs w:val="30"/>
        </w:rPr>
        <w:t>定期巡检：供应商指定专职巡检人员进行定期巡检，巡检前主动与采购人联系，需要经过采购人的许可，并确定当次巡检时间，在规定时间完成相应检查。巡检时对用户应用系统的软件环境进行检查；及时发现系统隐患，保障系统稳定运行，并出具系统巡检报告。巡检报告应按采购人要求格式填写，报告内容包含巡检结果、巡检建议等，每次巡检结束后双方应签字确认，并对发现的问题及时予以处理。</w:t>
      </w:r>
    </w:p>
    <w:p>
      <w:pPr>
        <w:keepNext w:val="0"/>
        <w:keepLines w:val="0"/>
        <w:pageBreakBefore w:val="0"/>
        <w:widowControl/>
        <w:numPr>
          <w:ilvl w:val="0"/>
          <w:numId w:val="2"/>
        </w:numPr>
        <w:kinsoku/>
        <w:wordWrap/>
        <w:overflowPunct/>
        <w:topLinePunct w:val="0"/>
        <w:autoSpaceDE/>
        <w:autoSpaceDN/>
        <w:bidi w:val="0"/>
        <w:adjustRightInd/>
        <w:snapToGrid/>
        <w:ind w:firstLine="600" w:firstLineChars="200"/>
        <w:jc w:val="both"/>
        <w:textAlignment w:val="auto"/>
        <w:rPr>
          <w:rFonts w:hint="eastAsia" w:ascii="仿宋" w:hAnsi="仿宋" w:eastAsia="仿宋" w:cs="仿宋"/>
          <w:kern w:val="2"/>
          <w:sz w:val="30"/>
          <w:szCs w:val="30"/>
        </w:rPr>
      </w:pPr>
      <w:r>
        <w:rPr>
          <w:rFonts w:hint="eastAsia" w:ascii="仿宋" w:hAnsi="仿宋" w:eastAsia="仿宋" w:cs="仿宋"/>
          <w:kern w:val="2"/>
          <w:sz w:val="30"/>
          <w:szCs w:val="30"/>
        </w:rPr>
        <w:t>服务响应：如出现系统故障，供应商应在接到通知后 10 分钟内予以响应并给出解决方案；若需要工程师前往现场，要求在24小时内指派熟悉医院情况的工程师到达指定现场；工程师在到达现场后，进行现场调查，一般要求在4小时内排除故障，在完成故障处理后出具产品维护报告，包含问题的原因、解决办法以及建议。24小时内无法解决的需提供备用方案，需与采购人商讨应急处理方案，不得对采购人的正常使用造成延误，每次维护过程需要有记录双方应签字确认，供应商应负责采购人使用的软件产品的正常使用及系统安全。</w:t>
      </w:r>
    </w:p>
    <w:p>
      <w:pPr>
        <w:keepNext w:val="0"/>
        <w:keepLines w:val="0"/>
        <w:pageBreakBefore w:val="0"/>
        <w:widowControl/>
        <w:numPr>
          <w:ilvl w:val="0"/>
          <w:numId w:val="2"/>
        </w:numPr>
        <w:kinsoku/>
        <w:wordWrap/>
        <w:overflowPunct/>
        <w:topLinePunct w:val="0"/>
        <w:autoSpaceDE/>
        <w:autoSpaceDN/>
        <w:bidi w:val="0"/>
        <w:adjustRightInd/>
        <w:snapToGrid/>
        <w:ind w:firstLine="600" w:firstLineChars="200"/>
        <w:jc w:val="both"/>
        <w:textAlignment w:val="auto"/>
        <w:rPr>
          <w:rFonts w:hint="eastAsia" w:ascii="仿宋" w:hAnsi="仿宋" w:eastAsia="仿宋" w:cs="仿宋"/>
          <w:kern w:val="2"/>
          <w:sz w:val="30"/>
          <w:szCs w:val="30"/>
        </w:rPr>
      </w:pPr>
      <w:r>
        <w:rPr>
          <w:rFonts w:hint="eastAsia" w:ascii="仿宋" w:hAnsi="仿宋" w:eastAsia="仿宋" w:cs="仿宋"/>
          <w:kern w:val="2"/>
          <w:sz w:val="30"/>
          <w:szCs w:val="30"/>
        </w:rPr>
        <w:t>正确性维护：对软件运行过程中新发现的软件错误，供应商负责及时改进、升级系统和提供软件操作维护说明，并纳入保修范围。</w:t>
      </w:r>
    </w:p>
    <w:p>
      <w:pPr>
        <w:keepNext w:val="0"/>
        <w:keepLines w:val="0"/>
        <w:pageBreakBefore w:val="0"/>
        <w:widowControl/>
        <w:numPr>
          <w:ilvl w:val="0"/>
          <w:numId w:val="2"/>
        </w:numPr>
        <w:kinsoku/>
        <w:wordWrap/>
        <w:overflowPunct/>
        <w:topLinePunct w:val="0"/>
        <w:autoSpaceDE/>
        <w:autoSpaceDN/>
        <w:bidi w:val="0"/>
        <w:adjustRightInd/>
        <w:snapToGrid/>
        <w:ind w:firstLine="600" w:firstLineChars="200"/>
        <w:jc w:val="both"/>
        <w:textAlignment w:val="auto"/>
        <w:rPr>
          <w:rFonts w:hint="eastAsia" w:ascii="仿宋" w:hAnsi="仿宋" w:eastAsia="仿宋" w:cs="仿宋"/>
          <w:kern w:val="2"/>
          <w:sz w:val="30"/>
          <w:szCs w:val="30"/>
        </w:rPr>
      </w:pPr>
      <w:r>
        <w:rPr>
          <w:rFonts w:hint="eastAsia" w:ascii="仿宋" w:hAnsi="仿宋" w:eastAsia="仿宋" w:cs="仿宋"/>
          <w:kern w:val="2"/>
          <w:sz w:val="30"/>
          <w:szCs w:val="30"/>
        </w:rPr>
        <w:t>维保期的更新服务：潜在供应商负责针对电子签名系统里软件提供免费的升级改造以及国产商用密码算法升级改造服务。</w:t>
      </w:r>
    </w:p>
    <w:p>
      <w:pPr>
        <w:widowControl/>
        <w:jc w:val="left"/>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楷体_GB2312">
    <w:altName w:val="楷体"/>
    <w:panose1 w:val="00000000000000000000"/>
    <w:charset w:val="86"/>
    <w:family w:val="modern"/>
    <w:pitch w:val="default"/>
    <w:sig w:usb0="00000000" w:usb1="00000000" w:usb2="00000010" w:usb3="00000000" w:csb0="00040000" w:csb1="00000000"/>
  </w:font>
  <w:font w:name="方正小标宋简体">
    <w:panose1 w:val="02000000000000000000"/>
    <w:charset w:val="86"/>
    <w:family w:val="auto"/>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华文新魏">
    <w:panose1 w:val="02010800040101010101"/>
    <w:charset w:val="86"/>
    <w:family w:val="auto"/>
    <w:pitch w:val="default"/>
    <w:sig w:usb0="00000001" w:usb1="080F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幼圆">
    <w:panose1 w:val="02010509060101010101"/>
    <w:charset w:val="86"/>
    <w:family w:val="auto"/>
    <w:pitch w:val="default"/>
    <w:sig w:usb0="00000001" w:usb1="080E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隶书">
    <w:panose1 w:val="0201050906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9D07DD"/>
    <w:multiLevelType w:val="singleLevel"/>
    <w:tmpl w:val="AA9D07DD"/>
    <w:lvl w:ilvl="0" w:tentative="0">
      <w:start w:val="1"/>
      <w:numFmt w:val="decimal"/>
      <w:suff w:val="nothing"/>
      <w:lvlText w:val="%1、"/>
      <w:lvlJc w:val="left"/>
    </w:lvl>
  </w:abstractNum>
  <w:abstractNum w:abstractNumId="1">
    <w:nsid w:val="02B63B28"/>
    <w:multiLevelType w:val="multilevel"/>
    <w:tmpl w:val="02B63B28"/>
    <w:lvl w:ilvl="0" w:tentative="0">
      <w:start w:val="1"/>
      <w:numFmt w:val="decimal"/>
      <w:pStyle w:val="3"/>
      <w:lvlText w:val="%1"/>
      <w:lvlJc w:val="left"/>
      <w:pPr>
        <w:ind w:left="0" w:firstLine="0"/>
      </w:pPr>
    </w:lvl>
    <w:lvl w:ilvl="1" w:tentative="0">
      <w:start w:val="1"/>
      <w:numFmt w:val="decimal"/>
      <w:pStyle w:val="4"/>
      <w:lvlText w:val="%1.%2"/>
      <w:lvlJc w:val="left"/>
      <w:pPr>
        <w:ind w:left="576" w:hanging="576"/>
      </w:pPr>
      <w:rPr>
        <w:rFonts w:hint="eastAsia"/>
      </w:rPr>
    </w:lvl>
    <w:lvl w:ilvl="2" w:tentative="0">
      <w:start w:val="1"/>
      <w:numFmt w:val="decimal"/>
      <w:pStyle w:val="5"/>
      <w:lvlText w:val="%1.%2.%3"/>
      <w:lvlJc w:val="left"/>
      <w:pPr>
        <w:ind w:left="720" w:hanging="720"/>
      </w:pPr>
      <w:rPr>
        <w:rFonts w:hint="eastAsia"/>
      </w:rPr>
    </w:lvl>
    <w:lvl w:ilvl="3" w:tentative="0">
      <w:start w:val="1"/>
      <w:numFmt w:val="decimal"/>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NkZTFmNjAwZDllOTFmNzgzMmI5M2YzZTJkODA4OGEifQ=="/>
  </w:docVars>
  <w:rsids>
    <w:rsidRoot w:val="003B7839"/>
    <w:rsid w:val="00063675"/>
    <w:rsid w:val="00081737"/>
    <w:rsid w:val="00232AA8"/>
    <w:rsid w:val="003A6DC2"/>
    <w:rsid w:val="003B0B2D"/>
    <w:rsid w:val="003B7839"/>
    <w:rsid w:val="00517772"/>
    <w:rsid w:val="00563DFC"/>
    <w:rsid w:val="00580646"/>
    <w:rsid w:val="006736A9"/>
    <w:rsid w:val="006D3CC6"/>
    <w:rsid w:val="007E283E"/>
    <w:rsid w:val="0084527C"/>
    <w:rsid w:val="00853C20"/>
    <w:rsid w:val="0097188D"/>
    <w:rsid w:val="00984097"/>
    <w:rsid w:val="00B3743B"/>
    <w:rsid w:val="00B479BB"/>
    <w:rsid w:val="00B90144"/>
    <w:rsid w:val="00C03182"/>
    <w:rsid w:val="00C26EFF"/>
    <w:rsid w:val="00C303BB"/>
    <w:rsid w:val="00CF1A3A"/>
    <w:rsid w:val="00E41DE3"/>
    <w:rsid w:val="00EE1B0E"/>
    <w:rsid w:val="1042183D"/>
    <w:rsid w:val="1F942869"/>
    <w:rsid w:val="21B052B5"/>
    <w:rsid w:val="24264B88"/>
    <w:rsid w:val="29543CC8"/>
    <w:rsid w:val="395E04AE"/>
    <w:rsid w:val="3BBE6118"/>
    <w:rsid w:val="4260379F"/>
    <w:rsid w:val="47CF614E"/>
    <w:rsid w:val="57474179"/>
    <w:rsid w:val="6B8F438D"/>
    <w:rsid w:val="6D3E7A54"/>
    <w:rsid w:val="77B915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17"/>
    <w:qFormat/>
    <w:uiPriority w:val="9"/>
    <w:pPr>
      <w:keepNext/>
      <w:keepLines/>
      <w:numPr>
        <w:ilvl w:val="0"/>
        <w:numId w:val="1"/>
      </w:numPr>
      <w:spacing w:before="340" w:after="330" w:line="578" w:lineRule="auto"/>
      <w:jc w:val="center"/>
      <w:outlineLvl w:val="0"/>
    </w:pPr>
    <w:rPr>
      <w:b/>
      <w:bCs/>
      <w:kern w:val="44"/>
      <w:sz w:val="44"/>
      <w:szCs w:val="44"/>
    </w:rPr>
  </w:style>
  <w:style w:type="paragraph" w:styleId="4">
    <w:name w:val="heading 2"/>
    <w:basedOn w:val="1"/>
    <w:next w:val="1"/>
    <w:link w:val="18"/>
    <w:unhideWhenUsed/>
    <w:qFormat/>
    <w:uiPriority w:val="9"/>
    <w:pPr>
      <w:keepNext/>
      <w:keepLines/>
      <w:numPr>
        <w:ilvl w:val="1"/>
        <w:numId w:val="1"/>
      </w:numPr>
      <w:spacing w:before="260" w:after="260" w:line="416" w:lineRule="auto"/>
      <w:jc w:val="center"/>
      <w:outlineLvl w:val="1"/>
    </w:pPr>
    <w:rPr>
      <w:rFonts w:asciiTheme="majorHAnsi" w:hAnsiTheme="majorHAnsi" w:eastAsiaTheme="majorEastAsia" w:cstheme="majorBidi"/>
      <w:b/>
      <w:bCs/>
      <w:sz w:val="32"/>
      <w:szCs w:val="32"/>
    </w:rPr>
  </w:style>
  <w:style w:type="paragraph" w:styleId="5">
    <w:name w:val="heading 3"/>
    <w:basedOn w:val="1"/>
    <w:next w:val="1"/>
    <w:link w:val="16"/>
    <w:unhideWhenUsed/>
    <w:qFormat/>
    <w:uiPriority w:val="9"/>
    <w:pPr>
      <w:keepNext/>
      <w:keepLines/>
      <w:numPr>
        <w:ilvl w:val="2"/>
        <w:numId w:val="1"/>
      </w:numPr>
      <w:spacing w:before="260" w:after="260" w:line="416" w:lineRule="auto"/>
      <w:jc w:val="center"/>
      <w:outlineLvl w:val="2"/>
    </w:pPr>
    <w:rPr>
      <w:b/>
      <w:bCs/>
      <w:sz w:val="32"/>
      <w:szCs w:val="3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5"/>
    <w:qFormat/>
    <w:uiPriority w:val="0"/>
    <w:pPr>
      <w:autoSpaceDE w:val="0"/>
      <w:autoSpaceDN w:val="0"/>
      <w:adjustRightInd w:val="0"/>
      <w:jc w:val="left"/>
    </w:pPr>
    <w:rPr>
      <w:sz w:val="28"/>
    </w:rPr>
  </w:style>
  <w:style w:type="paragraph" w:styleId="6">
    <w:name w:val="Body Text Indent 2"/>
    <w:basedOn w:val="1"/>
    <w:link w:val="23"/>
    <w:qFormat/>
    <w:uiPriority w:val="0"/>
    <w:pPr>
      <w:ind w:firstLine="600" w:firstLineChars="250"/>
    </w:pPr>
    <w:rPr>
      <w:rFonts w:ascii="楷体_GB2312" w:eastAsia="楷体_GB2312"/>
      <w:color w:val="000000"/>
      <w:sz w:val="24"/>
      <w:szCs w:val="20"/>
    </w:rPr>
  </w:style>
  <w:style w:type="paragraph" w:styleId="7">
    <w:name w:val="Balloon Text"/>
    <w:basedOn w:val="1"/>
    <w:link w:val="24"/>
    <w:semiHidden/>
    <w:unhideWhenUsed/>
    <w:qFormat/>
    <w:uiPriority w:val="99"/>
    <w:rPr>
      <w:sz w:val="18"/>
      <w:szCs w:val="18"/>
    </w:rPr>
  </w:style>
  <w:style w:type="paragraph" w:styleId="8">
    <w:name w:val="footer"/>
    <w:basedOn w:val="1"/>
    <w:link w:val="21"/>
    <w:qFormat/>
    <w:uiPriority w:val="99"/>
    <w:pPr>
      <w:tabs>
        <w:tab w:val="center" w:pos="4153"/>
        <w:tab w:val="right" w:pos="8306"/>
      </w:tabs>
      <w:snapToGrid w:val="0"/>
      <w:jc w:val="left"/>
    </w:pPr>
    <w:rPr>
      <w:sz w:val="18"/>
      <w:szCs w:val="18"/>
    </w:rPr>
  </w:style>
  <w:style w:type="paragraph" w:styleId="9">
    <w:name w:val="header"/>
    <w:basedOn w:val="1"/>
    <w:link w:val="20"/>
    <w:qFormat/>
    <w:uiPriority w:val="99"/>
    <w:pPr>
      <w:pBdr>
        <w:bottom w:val="single" w:color="auto" w:sz="6" w:space="1"/>
      </w:pBdr>
      <w:tabs>
        <w:tab w:val="center" w:pos="4153"/>
        <w:tab w:val="right" w:pos="8306"/>
      </w:tabs>
      <w:snapToGrid w:val="0"/>
      <w:jc w:val="center"/>
    </w:pPr>
    <w:rPr>
      <w:sz w:val="18"/>
      <w:szCs w:val="18"/>
    </w:rPr>
  </w:style>
  <w:style w:type="paragraph" w:styleId="10">
    <w:name w:val="Body Text 2"/>
    <w:basedOn w:val="1"/>
    <w:link w:val="22"/>
    <w:qFormat/>
    <w:uiPriority w:val="0"/>
    <w:rPr>
      <w:sz w:val="24"/>
    </w:rPr>
  </w:style>
  <w:style w:type="paragraph" w:styleId="11">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4">
    <w:name w:val="Strong"/>
    <w:basedOn w:val="13"/>
    <w:qFormat/>
    <w:uiPriority w:val="0"/>
    <w:rPr>
      <w:b/>
    </w:rPr>
  </w:style>
  <w:style w:type="character" w:customStyle="1" w:styleId="15">
    <w:name w:val="正文文本 字符"/>
    <w:basedOn w:val="13"/>
    <w:link w:val="2"/>
    <w:qFormat/>
    <w:uiPriority w:val="0"/>
    <w:rPr>
      <w:kern w:val="2"/>
      <w:sz w:val="28"/>
      <w:szCs w:val="24"/>
    </w:rPr>
  </w:style>
  <w:style w:type="character" w:customStyle="1" w:styleId="16">
    <w:name w:val="标题 3 字符"/>
    <w:basedOn w:val="13"/>
    <w:link w:val="5"/>
    <w:qFormat/>
    <w:uiPriority w:val="9"/>
    <w:rPr>
      <w:b/>
      <w:bCs/>
      <w:kern w:val="2"/>
      <w:sz w:val="32"/>
      <w:szCs w:val="32"/>
    </w:rPr>
  </w:style>
  <w:style w:type="character" w:customStyle="1" w:styleId="17">
    <w:name w:val="标题 1 字符"/>
    <w:basedOn w:val="13"/>
    <w:link w:val="3"/>
    <w:qFormat/>
    <w:uiPriority w:val="9"/>
    <w:rPr>
      <w:rFonts w:cstheme="minorBidi"/>
      <w:b/>
      <w:bCs/>
      <w:kern w:val="44"/>
      <w:sz w:val="44"/>
      <w:szCs w:val="44"/>
    </w:rPr>
  </w:style>
  <w:style w:type="character" w:customStyle="1" w:styleId="18">
    <w:name w:val="标题 2 字符"/>
    <w:basedOn w:val="13"/>
    <w:link w:val="4"/>
    <w:qFormat/>
    <w:uiPriority w:val="9"/>
    <w:rPr>
      <w:rFonts w:asciiTheme="majorHAnsi" w:hAnsiTheme="majorHAnsi" w:eastAsiaTheme="majorEastAsia" w:cstheme="majorBidi"/>
      <w:b/>
      <w:bCs/>
      <w:kern w:val="2"/>
      <w:sz w:val="32"/>
      <w:szCs w:val="32"/>
    </w:rPr>
  </w:style>
  <w:style w:type="paragraph" w:customStyle="1" w:styleId="19">
    <w:name w:val="样式 样式 样式1 + 左侧:  0 厘米 悬挂缩进: 1.5 字符 段前: 7.8 磅 + 左侧:  0 厘米 悬挂缩进: ..."/>
    <w:basedOn w:val="1"/>
    <w:qFormat/>
    <w:uiPriority w:val="0"/>
    <w:pPr>
      <w:adjustRightInd w:val="0"/>
      <w:snapToGrid w:val="0"/>
      <w:spacing w:line="400" w:lineRule="atLeast"/>
      <w:ind w:left="330" w:hanging="330" w:hangingChars="150"/>
    </w:pPr>
    <w:rPr>
      <w:rFonts w:ascii="宋体" w:hAnsi="宋体" w:cs="宋体"/>
      <w:color w:val="000000"/>
      <w:sz w:val="22"/>
      <w:szCs w:val="20"/>
    </w:rPr>
  </w:style>
  <w:style w:type="character" w:customStyle="1" w:styleId="20">
    <w:name w:val="页眉 字符"/>
    <w:link w:val="9"/>
    <w:qFormat/>
    <w:uiPriority w:val="99"/>
    <w:rPr>
      <w:rFonts w:asciiTheme="minorHAnsi" w:hAnsiTheme="minorHAnsi" w:eastAsiaTheme="minorEastAsia" w:cstheme="minorBidi"/>
      <w:kern w:val="2"/>
      <w:sz w:val="18"/>
      <w:szCs w:val="18"/>
    </w:rPr>
  </w:style>
  <w:style w:type="character" w:customStyle="1" w:styleId="21">
    <w:name w:val="页脚 字符"/>
    <w:link w:val="8"/>
    <w:qFormat/>
    <w:uiPriority w:val="99"/>
    <w:rPr>
      <w:rFonts w:asciiTheme="minorHAnsi" w:hAnsiTheme="minorHAnsi" w:eastAsiaTheme="minorEastAsia" w:cstheme="minorBidi"/>
      <w:kern w:val="2"/>
      <w:sz w:val="18"/>
      <w:szCs w:val="18"/>
    </w:rPr>
  </w:style>
  <w:style w:type="character" w:customStyle="1" w:styleId="22">
    <w:name w:val="正文文本 2 字符"/>
    <w:basedOn w:val="13"/>
    <w:link w:val="10"/>
    <w:qFormat/>
    <w:uiPriority w:val="0"/>
    <w:rPr>
      <w:kern w:val="2"/>
      <w:sz w:val="24"/>
      <w:szCs w:val="24"/>
    </w:rPr>
  </w:style>
  <w:style w:type="character" w:customStyle="1" w:styleId="23">
    <w:name w:val="正文文本缩进 2 字符"/>
    <w:basedOn w:val="13"/>
    <w:link w:val="6"/>
    <w:qFormat/>
    <w:uiPriority w:val="0"/>
    <w:rPr>
      <w:rFonts w:ascii="楷体_GB2312" w:eastAsia="楷体_GB2312"/>
      <w:color w:val="000000"/>
      <w:kern w:val="2"/>
      <w:sz w:val="24"/>
    </w:rPr>
  </w:style>
  <w:style w:type="character" w:customStyle="1" w:styleId="24">
    <w:name w:val="批注框文本 字符"/>
    <w:basedOn w:val="13"/>
    <w:link w:val="7"/>
    <w:semiHidden/>
    <w:qFormat/>
    <w:uiPriority w:val="99"/>
    <w:rPr>
      <w:kern w:val="2"/>
      <w:sz w:val="18"/>
      <w:szCs w:val="18"/>
    </w:rPr>
  </w:style>
  <w:style w:type="paragraph" w:styleId="25">
    <w:name w:val="No Spacing"/>
    <w:link w:val="26"/>
    <w:qFormat/>
    <w:uiPriority w:val="1"/>
    <w:rPr>
      <w:rFonts w:ascii="Calibri" w:hAnsi="Calibri" w:eastAsiaTheme="minorEastAsia" w:cstheme="minorBidi"/>
      <w:kern w:val="2"/>
      <w:sz w:val="22"/>
      <w:szCs w:val="22"/>
      <w:lang w:val="en-US" w:eastAsia="zh-CN" w:bidi="ar-SA"/>
    </w:rPr>
  </w:style>
  <w:style w:type="character" w:customStyle="1" w:styleId="26">
    <w:name w:val="无间隔 字符"/>
    <w:link w:val="25"/>
    <w:qFormat/>
    <w:uiPriority w:val="1"/>
    <w:rPr>
      <w:rFonts w:ascii="Calibri" w:hAnsi="Calibri" w:eastAsiaTheme="minorEastAsia" w:cstheme="minorBidi"/>
      <w:kern w:val="2"/>
      <w:sz w:val="22"/>
      <w:szCs w:val="22"/>
    </w:rPr>
  </w:style>
  <w:style w:type="paragraph" w:styleId="27">
    <w:name w:val="List Paragraph"/>
    <w:basedOn w:val="1"/>
    <w:qFormat/>
    <w:uiPriority w:val="34"/>
    <w:pPr>
      <w:ind w:firstLine="420" w:firstLineChars="200"/>
    </w:pPr>
    <w:rPr>
      <w:rFonts w:ascii="Times New Roman" w:hAnsi="Times New Roman" w:eastAsia="宋体" w:cs="Times New Roman"/>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1504</Words>
  <Characters>1581</Characters>
  <Lines>10</Lines>
  <Paragraphs>2</Paragraphs>
  <TotalTime>7</TotalTime>
  <ScaleCrop>false</ScaleCrop>
  <LinksUpToDate>false</LinksUpToDate>
  <CharactersWithSpaces>1654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2023-04-04T02:12:00Z</dcterms:created>
  <dc:creator>女士 万</dc:creator>
  <cp:lastModifiedBy>佩</cp:lastModifiedBy>
  <dcterms:modified xsi:type="dcterms:W3CDTF">2023-12-06T09:01:39Z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320E1D68A8504568A346284DC5774214</vt:lpwstr>
  </property>
</Properties>
</file>