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360" w:lineRule="exact"/>
        <w:rPr>
          <w:rFonts w:hint="eastAsia" w:ascii="宋体" w:hAnsi="宋体"/>
          <w:snapToGrid w:val="0"/>
          <w:color w:val="000000"/>
          <w:kern w:val="0"/>
          <w:sz w:val="28"/>
          <w:szCs w:val="28"/>
        </w:rPr>
      </w:pPr>
      <w:r>
        <w:rPr>
          <w:rFonts w:hint="eastAsia" w:ascii="宋体" w:hAnsi="宋体"/>
          <w:snapToGrid w:val="0"/>
          <w:color w:val="000000"/>
          <w:kern w:val="0"/>
          <w:sz w:val="28"/>
          <w:szCs w:val="28"/>
        </w:rPr>
        <w:t>附件1</w:t>
      </w:r>
    </w:p>
    <w:p>
      <w:pPr>
        <w:adjustRightInd w:val="0"/>
        <w:snapToGrid w:val="0"/>
        <w:jc w:val="center"/>
        <w:rPr>
          <w:rFonts w:hint="eastAsia" w:ascii="方正大标宋简体" w:hAnsi="方正大标宋简体" w:eastAsia="方正大标宋简体"/>
          <w:snapToGrid w:val="0"/>
          <w:color w:val="000000"/>
          <w:kern w:val="0"/>
          <w:sz w:val="36"/>
          <w:szCs w:val="36"/>
        </w:rPr>
      </w:pPr>
      <w:r>
        <w:rPr>
          <w:rFonts w:hint="eastAsia" w:ascii="方正大标宋简体" w:hAnsi="方正大标宋简体" w:eastAsia="方正大标宋简体"/>
          <w:snapToGrid w:val="0"/>
          <w:color w:val="000000"/>
          <w:kern w:val="0"/>
          <w:sz w:val="36"/>
          <w:szCs w:val="36"/>
        </w:rPr>
        <w:t>四川省新农合终末期肾病等重大疾病</w:t>
      </w:r>
    </w:p>
    <w:p>
      <w:pPr>
        <w:adjustRightInd w:val="0"/>
        <w:snapToGrid w:val="0"/>
        <w:jc w:val="center"/>
        <w:rPr>
          <w:rFonts w:hint="eastAsia" w:ascii="方正大标宋简体" w:hAnsi="方正大标宋简体" w:eastAsia="方正大标宋简体"/>
          <w:snapToGrid w:val="0"/>
          <w:color w:val="000000"/>
          <w:kern w:val="0"/>
          <w:sz w:val="36"/>
          <w:szCs w:val="36"/>
        </w:rPr>
      </w:pPr>
      <w:r>
        <w:rPr>
          <w:rFonts w:hint="eastAsia" w:ascii="方正大标宋简体" w:hAnsi="方正大标宋简体" w:eastAsia="方正大标宋简体"/>
          <w:snapToGrid w:val="0"/>
          <w:color w:val="000000"/>
          <w:kern w:val="0"/>
          <w:sz w:val="36"/>
          <w:szCs w:val="36"/>
        </w:rPr>
        <w:t>按病种付费标准</w:t>
      </w:r>
    </w:p>
    <w:p>
      <w:pPr>
        <w:adjustRightInd w:val="0"/>
        <w:snapToGrid w:val="0"/>
        <w:spacing w:line="430" w:lineRule="exact"/>
        <w:ind w:firstLine="480" w:firstLineChars="200"/>
        <w:rPr>
          <w:rFonts w:hint="eastAsia" w:ascii="宋体" w:hAnsi="宋体"/>
          <w:snapToGrid w:val="0"/>
          <w:color w:val="000000"/>
          <w:kern w:val="0"/>
          <w:sz w:val="24"/>
        </w:rPr>
      </w:pPr>
    </w:p>
    <w:p>
      <w:pPr>
        <w:pStyle w:val="5"/>
        <w:adjustRightInd w:val="0"/>
        <w:snapToGrid w:val="0"/>
        <w:spacing w:line="430" w:lineRule="exact"/>
        <w:ind w:firstLine="480"/>
        <w:rPr>
          <w:rFonts w:hint="eastAsia" w:ascii="黑体" w:hAnsi="宋体" w:eastAsia="黑体"/>
          <w:snapToGrid w:val="0"/>
          <w:color w:val="000000"/>
          <w:kern w:val="0"/>
          <w:sz w:val="24"/>
        </w:rPr>
      </w:pPr>
      <w:r>
        <w:rPr>
          <w:rFonts w:hint="eastAsia" w:ascii="黑体" w:hAnsi="宋体" w:eastAsia="黑体"/>
          <w:snapToGrid w:val="0"/>
          <w:color w:val="000000"/>
          <w:kern w:val="0"/>
          <w:sz w:val="24"/>
        </w:rPr>
        <w:t>一、艾滋病机会性感染</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以HIV感染或艾滋病（</w:t>
      </w:r>
      <w:r>
        <w:rPr>
          <w:rFonts w:ascii="宋体" w:hAnsi="宋体"/>
          <w:snapToGrid w:val="0"/>
          <w:color w:val="000000"/>
          <w:kern w:val="0"/>
          <w:sz w:val="24"/>
        </w:rPr>
        <w:t>ICD-10</w:t>
      </w:r>
      <w:r>
        <w:rPr>
          <w:rFonts w:hint="eastAsia" w:ascii="宋体" w:hAnsi="宋体"/>
          <w:snapToGrid w:val="0"/>
          <w:color w:val="000000"/>
          <w:kern w:val="0"/>
          <w:sz w:val="24"/>
        </w:rPr>
        <w:t>编码</w:t>
      </w:r>
      <w:r>
        <w:rPr>
          <w:rFonts w:ascii="宋体" w:hAnsi="宋体"/>
          <w:snapToGrid w:val="0"/>
          <w:color w:val="000000"/>
          <w:kern w:val="0"/>
          <w:sz w:val="24"/>
        </w:rPr>
        <w:t>B24.X01</w:t>
      </w:r>
      <w:r>
        <w:rPr>
          <w:rFonts w:hint="eastAsia" w:ascii="宋体" w:hAnsi="宋体"/>
          <w:snapToGrid w:val="0"/>
          <w:color w:val="000000"/>
          <w:kern w:val="0"/>
          <w:sz w:val="24"/>
        </w:rPr>
        <w:t>）为第一诊断的、罹患肺部感染、肝部感染、中枢神经系统感染及其他感染类疾病的患者，在定点医疗机构住院发生的费用，纳入新农合重大疾病按病种付费范围。</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治疗过程需严格按照卫生部《艾滋病合并肺孢子菌肺炎临床路径（2012年版）》、《艾滋病合并活动性结核病临床路径（2012年版）》、《艾滋病合并巨细胞病毒视网膜炎临床路径（2012年版）》、《艾滋病合并马尼菲青霉菌病临床路径（2012年版）》、《艾滋病合并细菌性肺炎临床路径（2012年版）》、《艾滋病合并新型隐球菌脑膜炎临床路径（2012年版）》执行，方可实行按病种付费。</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（三）支付标准。</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支付的标准包括患者每次住院期间发生的费用，限额标准内费用的70%（三级医院）或75%（二级医院）由新农合基金支付。</w:t>
      </w:r>
    </w:p>
    <w:p>
      <w:pPr>
        <w:pStyle w:val="5"/>
        <w:spacing w:line="430" w:lineRule="exact"/>
        <w:ind w:firstLineChars="0"/>
        <w:jc w:val="center"/>
        <w:rPr>
          <w:rFonts w:hint="eastAsia" w:ascii="宋体" w:hAnsi="宋体"/>
          <w:sz w:val="24"/>
        </w:rPr>
      </w:pPr>
      <w:r>
        <w:rPr>
          <w:rFonts w:hint="eastAsia" w:ascii="宋体" w:hAnsi="宋体"/>
          <w:sz w:val="24"/>
        </w:rPr>
        <w:t>表1   艾滋病机会性感染住院治疗费用的限额支付标准</w:t>
      </w:r>
    </w:p>
    <w:tbl>
      <w:tblPr>
        <w:tblStyle w:val="4"/>
        <w:tblW w:w="7541" w:type="dxa"/>
        <w:jc w:val="center"/>
        <w:tblInd w:w="0" w:type="dxa"/>
        <w:tblLayout w:type="fixed"/>
        <w:tblCellMar>
          <w:top w:w="0" w:type="dxa"/>
          <w:left w:w="28" w:type="dxa"/>
          <w:bottom w:w="0" w:type="dxa"/>
          <w:right w:w="28" w:type="dxa"/>
        </w:tblCellMar>
      </w:tblPr>
      <w:tblGrid>
        <w:gridCol w:w="1257"/>
        <w:gridCol w:w="1256"/>
        <w:gridCol w:w="1258"/>
        <w:gridCol w:w="1256"/>
        <w:gridCol w:w="1256"/>
        <w:gridCol w:w="1258"/>
      </w:tblGrid>
      <w:tr>
        <w:tblPrEx>
          <w:tblLayout w:type="fixed"/>
        </w:tblPrEx>
        <w:trPr>
          <w:trHeight w:val="463" w:hRule="atLeast"/>
          <w:jc w:val="center"/>
        </w:trPr>
        <w:tc>
          <w:tcPr>
            <w:tcW w:w="2513"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省级定点救治医院（万元）</w:t>
            </w:r>
          </w:p>
        </w:tc>
        <w:tc>
          <w:tcPr>
            <w:tcW w:w="2514"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 xml:space="preserve"> 三级医院（万元）</w:t>
            </w:r>
          </w:p>
        </w:tc>
        <w:tc>
          <w:tcPr>
            <w:tcW w:w="2514"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二级医院（万元）</w:t>
            </w:r>
          </w:p>
        </w:tc>
      </w:tr>
      <w:tr>
        <w:tblPrEx>
          <w:tblLayout w:type="fixed"/>
        </w:tblPrEx>
        <w:trPr>
          <w:trHeight w:val="463" w:hRule="atLeast"/>
          <w:jc w:val="center"/>
        </w:trPr>
        <w:tc>
          <w:tcPr>
            <w:tcW w:w="1257"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5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58"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5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5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58"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r>
      <w:tr>
        <w:tblPrEx>
          <w:tblLayout w:type="fixed"/>
          <w:tblCellMar>
            <w:top w:w="0" w:type="dxa"/>
            <w:left w:w="28" w:type="dxa"/>
            <w:bottom w:w="0" w:type="dxa"/>
            <w:right w:w="28" w:type="dxa"/>
          </w:tblCellMar>
        </w:tblPrEx>
        <w:trPr>
          <w:trHeight w:val="464" w:hRule="atLeast"/>
          <w:jc w:val="center"/>
        </w:trPr>
        <w:tc>
          <w:tcPr>
            <w:tcW w:w="1257"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0.85</w:t>
            </w:r>
          </w:p>
        </w:tc>
        <w:tc>
          <w:tcPr>
            <w:tcW w:w="1256"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0.60</w:t>
            </w:r>
          </w:p>
        </w:tc>
        <w:tc>
          <w:tcPr>
            <w:tcW w:w="1258"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0.80</w:t>
            </w:r>
          </w:p>
        </w:tc>
        <w:tc>
          <w:tcPr>
            <w:tcW w:w="1256"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0.56</w:t>
            </w:r>
          </w:p>
        </w:tc>
        <w:tc>
          <w:tcPr>
            <w:tcW w:w="1256"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0.65</w:t>
            </w:r>
          </w:p>
        </w:tc>
        <w:tc>
          <w:tcPr>
            <w:tcW w:w="1258"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0.49</w:t>
            </w:r>
          </w:p>
        </w:tc>
      </w:tr>
    </w:tbl>
    <w:p>
      <w:pPr>
        <w:pStyle w:val="5"/>
        <w:adjustRightInd w:val="0"/>
        <w:snapToGrid w:val="0"/>
        <w:spacing w:line="430" w:lineRule="exact"/>
        <w:ind w:firstLine="480"/>
        <w:rPr>
          <w:rFonts w:hint="eastAsia" w:ascii="黑体" w:hAnsi="宋体" w:eastAsia="黑体"/>
          <w:snapToGrid w:val="0"/>
          <w:color w:val="000000"/>
          <w:kern w:val="0"/>
          <w:sz w:val="24"/>
        </w:rPr>
      </w:pPr>
      <w:r>
        <w:rPr>
          <w:rFonts w:hint="eastAsia" w:ascii="黑体" w:hAnsi="宋体" w:eastAsia="黑体"/>
          <w:snapToGrid w:val="0"/>
          <w:color w:val="000000"/>
          <w:kern w:val="0"/>
          <w:sz w:val="24"/>
        </w:rPr>
        <w:t>二、耐多药肺结核</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以单纯耐多药肺结核（ICD-10：A15.0、A15.1）为第一诊断的患者，在定点医疗机构住院和门诊治疗发生的费用，纳入新农合重大疾病按病种付费范围。</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治疗过程需严格按照卫生部《</w:t>
      </w:r>
      <w:r>
        <w:rPr>
          <w:rFonts w:hint="eastAsia" w:ascii="宋体" w:hAnsi="宋体" w:cs="宋体"/>
          <w:snapToGrid w:val="0"/>
          <w:color w:val="000000"/>
          <w:kern w:val="0"/>
          <w:sz w:val="24"/>
        </w:rPr>
        <w:t>耐多药肺结核临床路径</w:t>
      </w:r>
      <w:r>
        <w:rPr>
          <w:rFonts w:ascii="宋体" w:hAnsi="宋体" w:cs="宋体"/>
          <w:snapToGrid w:val="0"/>
          <w:color w:val="000000"/>
          <w:kern w:val="0"/>
          <w:sz w:val="24"/>
        </w:rPr>
        <w:t>（20</w:t>
      </w:r>
      <w:r>
        <w:rPr>
          <w:rFonts w:hint="eastAsia" w:ascii="宋体" w:hAnsi="宋体" w:cs="宋体"/>
          <w:snapToGrid w:val="0"/>
          <w:color w:val="000000"/>
          <w:kern w:val="0"/>
          <w:sz w:val="24"/>
        </w:rPr>
        <w:t>12</w:t>
      </w:r>
      <w:r>
        <w:rPr>
          <w:rFonts w:ascii="宋体" w:hAnsi="宋体" w:cs="宋体"/>
          <w:snapToGrid w:val="0"/>
          <w:color w:val="000000"/>
          <w:kern w:val="0"/>
          <w:sz w:val="24"/>
        </w:rPr>
        <w:t>年版）</w:t>
      </w:r>
      <w:r>
        <w:rPr>
          <w:rFonts w:hint="eastAsia" w:ascii="宋体" w:hAnsi="宋体" w:cs="宋体"/>
          <w:snapToGrid w:val="0"/>
          <w:color w:val="000000"/>
          <w:kern w:val="0"/>
          <w:sz w:val="24"/>
        </w:rPr>
        <w:t>》</w:t>
      </w:r>
      <w:r>
        <w:rPr>
          <w:rFonts w:hint="eastAsia" w:ascii="宋体" w:hAnsi="宋体"/>
          <w:snapToGrid w:val="0"/>
          <w:color w:val="000000"/>
          <w:kern w:val="0"/>
          <w:sz w:val="24"/>
        </w:rPr>
        <w:t>执行，方可实行按病种付费。</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（三）支付标准。</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支付费用包括患者每次住院期间和全年门诊治疗的费用。对住院患者采取限额支付标准，限额标准内费用的70%由新农合基金支付。门诊费用最高限额为3000元，限额标准内费用的70%由新农合基金支付。</w:t>
      </w:r>
      <w:r>
        <w:rPr>
          <w:rFonts w:ascii="宋体" w:hAnsi="宋体"/>
          <w:snapToGrid w:val="0"/>
          <w:color w:val="000000"/>
          <w:kern w:val="0"/>
          <w:sz w:val="24"/>
        </w:rPr>
        <w:t xml:space="preserve"> </w:t>
      </w:r>
    </w:p>
    <w:p>
      <w:pPr>
        <w:adjustRightInd w:val="0"/>
        <w:snapToGrid w:val="0"/>
        <w:spacing w:line="430" w:lineRule="exact"/>
        <w:ind w:firstLine="480" w:firstLineChars="200"/>
        <w:jc w:val="center"/>
        <w:rPr>
          <w:rFonts w:ascii="宋体" w:hAnsi="宋体"/>
          <w:sz w:val="24"/>
        </w:rPr>
      </w:pPr>
      <w:r>
        <w:rPr>
          <w:rFonts w:hint="eastAsia" w:ascii="宋体" w:hAnsi="宋体"/>
          <w:sz w:val="24"/>
        </w:rPr>
        <w:t>表2  耐多药肺结核住院治疗费用的限额支付标准</w:t>
      </w:r>
    </w:p>
    <w:tbl>
      <w:tblPr>
        <w:tblStyle w:val="4"/>
        <w:tblW w:w="7484" w:type="dxa"/>
        <w:jc w:val="center"/>
        <w:tblInd w:w="0" w:type="dxa"/>
        <w:tblLayout w:type="fixed"/>
        <w:tblCellMar>
          <w:top w:w="0" w:type="dxa"/>
          <w:left w:w="108" w:type="dxa"/>
          <w:bottom w:w="0" w:type="dxa"/>
          <w:right w:w="108" w:type="dxa"/>
        </w:tblCellMar>
      </w:tblPr>
      <w:tblGrid>
        <w:gridCol w:w="1968"/>
        <w:gridCol w:w="1856"/>
        <w:gridCol w:w="1556"/>
        <w:gridCol w:w="2104"/>
      </w:tblGrid>
      <w:tr>
        <w:tblPrEx>
          <w:tblLayout w:type="fixed"/>
          <w:tblCellMar>
            <w:top w:w="0" w:type="dxa"/>
            <w:left w:w="108" w:type="dxa"/>
            <w:bottom w:w="0" w:type="dxa"/>
            <w:right w:w="108" w:type="dxa"/>
          </w:tblCellMar>
        </w:tblPrEx>
        <w:trPr>
          <w:trHeight w:val="490" w:hRule="atLeast"/>
          <w:jc w:val="center"/>
        </w:trPr>
        <w:tc>
          <w:tcPr>
            <w:tcW w:w="3824" w:type="dxa"/>
            <w:gridSpan w:val="2"/>
            <w:tcBorders>
              <w:top w:val="single" w:color="auto" w:sz="4" w:space="0"/>
              <w:left w:val="nil"/>
              <w:bottom w:val="single" w:color="auto" w:sz="4" w:space="0"/>
              <w:right w:val="nil"/>
            </w:tcBorders>
            <w:vAlign w:val="center"/>
          </w:tcPr>
          <w:p>
            <w:pPr>
              <w:widowControl/>
              <w:spacing w:line="410" w:lineRule="exact"/>
              <w:jc w:val="left"/>
              <w:rPr>
                <w:rFonts w:ascii="宋体" w:hAnsi="宋体" w:cs="宋体"/>
                <w:b/>
                <w:bCs/>
                <w:kern w:val="0"/>
                <w:szCs w:val="21"/>
              </w:rPr>
            </w:pPr>
            <w:r>
              <w:rPr>
                <w:rFonts w:hint="eastAsia" w:ascii="宋体" w:hAnsi="宋体" w:cs="宋体"/>
                <w:b/>
                <w:bCs/>
                <w:kern w:val="0"/>
                <w:szCs w:val="21"/>
              </w:rPr>
              <w:t xml:space="preserve">      省级定点救治医院（万元）   </w:t>
            </w:r>
          </w:p>
        </w:tc>
        <w:tc>
          <w:tcPr>
            <w:tcW w:w="3660"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三级医院（万元）</w:t>
            </w:r>
          </w:p>
        </w:tc>
      </w:tr>
      <w:tr>
        <w:tblPrEx>
          <w:tblLayout w:type="fixed"/>
          <w:tblCellMar>
            <w:top w:w="0" w:type="dxa"/>
            <w:left w:w="108" w:type="dxa"/>
            <w:bottom w:w="0" w:type="dxa"/>
            <w:right w:w="108" w:type="dxa"/>
          </w:tblCellMar>
        </w:tblPrEx>
        <w:trPr>
          <w:trHeight w:val="270" w:hRule="atLeast"/>
          <w:jc w:val="center"/>
        </w:trPr>
        <w:tc>
          <w:tcPr>
            <w:tcW w:w="1968"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85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55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2104"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r>
      <w:tr>
        <w:tblPrEx>
          <w:tblLayout w:type="fixed"/>
          <w:tblCellMar>
            <w:top w:w="0" w:type="dxa"/>
            <w:left w:w="108" w:type="dxa"/>
            <w:bottom w:w="0" w:type="dxa"/>
            <w:right w:w="108" w:type="dxa"/>
          </w:tblCellMar>
        </w:tblPrEx>
        <w:trPr>
          <w:trHeight w:val="517" w:hRule="atLeast"/>
          <w:jc w:val="center"/>
        </w:trPr>
        <w:tc>
          <w:tcPr>
            <w:tcW w:w="1968"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1.64</w:t>
            </w:r>
          </w:p>
        </w:tc>
        <w:tc>
          <w:tcPr>
            <w:tcW w:w="1856" w:type="dxa"/>
            <w:tcBorders>
              <w:top w:val="nil"/>
              <w:left w:val="nil"/>
              <w:bottom w:val="single" w:color="auto" w:sz="4" w:space="0"/>
              <w:right w:val="nil"/>
            </w:tcBorders>
            <w:vAlign w:val="center"/>
          </w:tcPr>
          <w:p>
            <w:pPr>
              <w:widowControl/>
              <w:spacing w:line="410" w:lineRule="exact"/>
              <w:ind w:firstLine="315" w:firstLineChars="150"/>
              <w:jc w:val="center"/>
              <w:rPr>
                <w:rFonts w:ascii="宋体" w:hAnsi="宋体"/>
                <w:bCs/>
                <w:kern w:val="0"/>
                <w:szCs w:val="21"/>
              </w:rPr>
            </w:pPr>
            <w:r>
              <w:rPr>
                <w:rFonts w:hint="eastAsia" w:ascii="宋体" w:hAnsi="宋体"/>
                <w:bCs/>
                <w:kern w:val="0"/>
                <w:szCs w:val="21"/>
              </w:rPr>
              <w:t>1.15</w:t>
            </w:r>
          </w:p>
        </w:tc>
        <w:tc>
          <w:tcPr>
            <w:tcW w:w="1556"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1.53</w:t>
            </w:r>
          </w:p>
        </w:tc>
        <w:tc>
          <w:tcPr>
            <w:tcW w:w="2104"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1.07</w:t>
            </w:r>
          </w:p>
        </w:tc>
      </w:tr>
    </w:tbl>
    <w:p>
      <w:pPr>
        <w:pStyle w:val="5"/>
        <w:adjustRightInd w:val="0"/>
        <w:snapToGrid w:val="0"/>
        <w:spacing w:line="430" w:lineRule="exact"/>
        <w:ind w:firstLine="480"/>
        <w:rPr>
          <w:rFonts w:hint="eastAsia" w:ascii="黑体" w:hAnsi="宋体" w:eastAsia="黑体"/>
          <w:snapToGrid w:val="0"/>
          <w:color w:val="000000"/>
          <w:kern w:val="0"/>
          <w:sz w:val="24"/>
        </w:rPr>
      </w:pPr>
      <w:r>
        <w:rPr>
          <w:rFonts w:hint="eastAsia" w:ascii="黑体" w:hAnsi="宋体" w:eastAsia="黑体"/>
          <w:snapToGrid w:val="0"/>
          <w:color w:val="000000"/>
          <w:kern w:val="0"/>
          <w:sz w:val="24"/>
        </w:rPr>
        <w:t>三、唇腭裂</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adjustRightInd w:val="0"/>
        <w:snapToGrid w:val="0"/>
        <w:spacing w:line="430" w:lineRule="exact"/>
        <w:ind w:firstLine="480" w:firstLineChars="200"/>
        <w:rPr>
          <w:rFonts w:ascii="宋体" w:hAnsi="宋体" w:cs="宋体"/>
          <w:snapToGrid w:val="0"/>
          <w:color w:val="000000"/>
          <w:kern w:val="0"/>
          <w:sz w:val="24"/>
        </w:rPr>
      </w:pPr>
      <w:r>
        <w:rPr>
          <w:rFonts w:hint="eastAsia" w:ascii="宋体" w:hAnsi="宋体"/>
          <w:snapToGrid w:val="0"/>
          <w:color w:val="000000"/>
          <w:kern w:val="0"/>
          <w:sz w:val="24"/>
        </w:rPr>
        <w:t>以唇裂</w:t>
      </w:r>
      <w:r>
        <w:rPr>
          <w:rFonts w:hint="eastAsia" w:ascii="宋体" w:hAnsi="宋体" w:cs="宋体"/>
          <w:snapToGrid w:val="0"/>
          <w:color w:val="000000"/>
          <w:kern w:val="0"/>
          <w:sz w:val="24"/>
        </w:rPr>
        <w:t>（ICD-10：Q36）</w:t>
      </w:r>
      <w:r>
        <w:rPr>
          <w:rFonts w:hint="eastAsia" w:ascii="宋体" w:hAnsi="宋体"/>
          <w:snapToGrid w:val="0"/>
          <w:color w:val="000000"/>
          <w:kern w:val="0"/>
          <w:sz w:val="24"/>
        </w:rPr>
        <w:t>为第一诊断</w:t>
      </w:r>
      <w:r>
        <w:rPr>
          <w:rFonts w:hint="eastAsia" w:ascii="宋体" w:hAnsi="宋体" w:cs="宋体"/>
          <w:snapToGrid w:val="0"/>
          <w:color w:val="000000"/>
          <w:kern w:val="0"/>
          <w:sz w:val="24"/>
        </w:rPr>
        <w:t>、行唇裂修复术（ICD-9-CM-3：27.54）和以腭裂（ICD-10：Q35）</w:t>
      </w:r>
      <w:r>
        <w:rPr>
          <w:rFonts w:hint="eastAsia" w:ascii="宋体" w:hAnsi="宋体"/>
          <w:snapToGrid w:val="0"/>
          <w:color w:val="000000"/>
          <w:kern w:val="0"/>
          <w:sz w:val="24"/>
        </w:rPr>
        <w:t>为第一诊断</w:t>
      </w:r>
      <w:r>
        <w:rPr>
          <w:rFonts w:hint="eastAsia" w:ascii="宋体" w:hAnsi="宋体" w:cs="宋体"/>
          <w:snapToGrid w:val="0"/>
          <w:color w:val="000000"/>
          <w:kern w:val="0"/>
          <w:sz w:val="24"/>
        </w:rPr>
        <w:t>、行腭裂修复术（ICD-9-CM-3：27.62）的患者，</w:t>
      </w:r>
      <w:r>
        <w:rPr>
          <w:rFonts w:hint="eastAsia" w:ascii="宋体" w:hAnsi="宋体"/>
          <w:snapToGrid w:val="0"/>
          <w:color w:val="000000"/>
          <w:kern w:val="0"/>
          <w:sz w:val="24"/>
        </w:rPr>
        <w:t>在定点医疗机构住院发生的费用，纳入新农合重大疾病按病种付费范围。</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治疗过程需严格按照《唇裂临床路径（2009年版）》和《腭裂临床路径（2009年版）》执行，方可实行按病种付费。</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（三）支付标准。</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支付的费用包括患者每次住院期间发生的费用。医院应按照定额支付标准收取费用，其中三级医院相应标准的70%，二级医院相应标准的75%由新农合基金支付。</w:t>
      </w:r>
    </w:p>
    <w:p>
      <w:pPr>
        <w:pStyle w:val="5"/>
        <w:spacing w:line="430" w:lineRule="exact"/>
        <w:ind w:firstLine="0" w:firstLineChars="0"/>
        <w:jc w:val="center"/>
        <w:rPr>
          <w:rFonts w:ascii="宋体" w:hAnsi="宋体"/>
          <w:sz w:val="24"/>
        </w:rPr>
      </w:pPr>
      <w:r>
        <w:rPr>
          <w:rFonts w:hint="eastAsia" w:ascii="宋体" w:hAnsi="宋体"/>
          <w:b/>
          <w:sz w:val="24"/>
        </w:rPr>
        <w:t xml:space="preserve"> </w:t>
      </w:r>
      <w:r>
        <w:rPr>
          <w:rFonts w:hint="eastAsia" w:ascii="宋体" w:hAnsi="宋体"/>
          <w:sz w:val="24"/>
        </w:rPr>
        <w:t xml:space="preserve"> 表3-1   唇裂住院治疗费用的定额支付标准</w:t>
      </w:r>
    </w:p>
    <w:tbl>
      <w:tblPr>
        <w:tblStyle w:val="4"/>
        <w:tblW w:w="7484" w:type="dxa"/>
        <w:jc w:val="center"/>
        <w:tblInd w:w="0" w:type="dxa"/>
        <w:tblLayout w:type="fixed"/>
        <w:tblCellMar>
          <w:top w:w="0" w:type="dxa"/>
          <w:left w:w="28" w:type="dxa"/>
          <w:bottom w:w="0" w:type="dxa"/>
          <w:right w:w="28" w:type="dxa"/>
        </w:tblCellMar>
      </w:tblPr>
      <w:tblGrid>
        <w:gridCol w:w="1336"/>
        <w:gridCol w:w="1336"/>
        <w:gridCol w:w="1203"/>
        <w:gridCol w:w="1203"/>
        <w:gridCol w:w="1203"/>
        <w:gridCol w:w="1203"/>
      </w:tblGrid>
      <w:tr>
        <w:tblPrEx>
          <w:tblLayout w:type="fixed"/>
          <w:tblCellMar>
            <w:top w:w="0" w:type="dxa"/>
            <w:left w:w="28" w:type="dxa"/>
            <w:bottom w:w="0" w:type="dxa"/>
            <w:right w:w="28" w:type="dxa"/>
          </w:tblCellMar>
        </w:tblPrEx>
        <w:trPr>
          <w:trHeight w:val="450" w:hRule="atLeast"/>
          <w:jc w:val="center"/>
        </w:trPr>
        <w:tc>
          <w:tcPr>
            <w:tcW w:w="2672" w:type="dxa"/>
            <w:gridSpan w:val="2"/>
            <w:tcBorders>
              <w:top w:val="single" w:color="auto" w:sz="4" w:space="0"/>
              <w:left w:val="nil"/>
              <w:bottom w:val="single" w:color="auto" w:sz="4" w:space="0"/>
              <w:right w:val="nil"/>
            </w:tcBorders>
            <w:vAlign w:val="center"/>
          </w:tcPr>
          <w:p>
            <w:pPr>
              <w:widowControl/>
              <w:spacing w:line="410" w:lineRule="exact"/>
              <w:rPr>
                <w:rFonts w:ascii="宋体" w:hAnsi="宋体" w:cs="宋体"/>
                <w:b/>
                <w:bCs/>
                <w:kern w:val="0"/>
                <w:szCs w:val="21"/>
              </w:rPr>
            </w:pPr>
            <w:r>
              <w:rPr>
                <w:rFonts w:hint="eastAsia" w:ascii="宋体" w:hAnsi="宋体" w:cs="宋体"/>
                <w:b/>
                <w:bCs/>
                <w:kern w:val="0"/>
                <w:szCs w:val="21"/>
              </w:rPr>
              <w:t>省级定点救治医院（万元）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三级医院（万元）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 xml:space="preserve"> 二级医院（万元）</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0.50</w:t>
            </w:r>
          </w:p>
        </w:tc>
        <w:tc>
          <w:tcPr>
            <w:tcW w:w="1336"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0.35</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0.48</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0.34</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0.45</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0.34</w:t>
            </w:r>
          </w:p>
        </w:tc>
      </w:tr>
    </w:tbl>
    <w:p>
      <w:pPr>
        <w:pStyle w:val="5"/>
        <w:spacing w:line="410" w:lineRule="exact"/>
        <w:ind w:firstLine="0" w:firstLineChars="0"/>
        <w:jc w:val="center"/>
        <w:rPr>
          <w:rFonts w:hint="eastAsia" w:ascii="宋体" w:hAnsi="宋体"/>
          <w:szCs w:val="21"/>
        </w:rPr>
      </w:pPr>
    </w:p>
    <w:p>
      <w:pPr>
        <w:pStyle w:val="5"/>
        <w:spacing w:line="410" w:lineRule="exact"/>
        <w:ind w:firstLine="0" w:firstLineChars="0"/>
        <w:jc w:val="center"/>
        <w:rPr>
          <w:rFonts w:hint="eastAsia" w:ascii="宋体" w:hAnsi="宋体"/>
          <w:sz w:val="24"/>
        </w:rPr>
      </w:pPr>
      <w:r>
        <w:rPr>
          <w:rFonts w:hint="eastAsia" w:ascii="宋体" w:hAnsi="宋体"/>
          <w:sz w:val="24"/>
        </w:rPr>
        <w:t>表3-2   腭裂住院治疗费用的定额支付标准</w:t>
      </w:r>
    </w:p>
    <w:tbl>
      <w:tblPr>
        <w:tblStyle w:val="4"/>
        <w:tblW w:w="7484" w:type="dxa"/>
        <w:jc w:val="center"/>
        <w:tblInd w:w="0" w:type="dxa"/>
        <w:tblLayout w:type="fixed"/>
        <w:tblCellMar>
          <w:top w:w="0" w:type="dxa"/>
          <w:left w:w="28" w:type="dxa"/>
          <w:bottom w:w="0" w:type="dxa"/>
          <w:right w:w="28" w:type="dxa"/>
        </w:tblCellMar>
      </w:tblPr>
      <w:tblGrid>
        <w:gridCol w:w="1336"/>
        <w:gridCol w:w="1336"/>
        <w:gridCol w:w="1203"/>
        <w:gridCol w:w="1203"/>
        <w:gridCol w:w="1203"/>
        <w:gridCol w:w="1203"/>
      </w:tblGrid>
      <w:tr>
        <w:tblPrEx>
          <w:tblLayout w:type="fixed"/>
          <w:tblCellMar>
            <w:top w:w="0" w:type="dxa"/>
            <w:left w:w="28" w:type="dxa"/>
            <w:bottom w:w="0" w:type="dxa"/>
            <w:right w:w="28" w:type="dxa"/>
          </w:tblCellMar>
        </w:tblPrEx>
        <w:trPr>
          <w:trHeight w:val="450" w:hRule="atLeast"/>
          <w:jc w:val="center"/>
        </w:trPr>
        <w:tc>
          <w:tcPr>
            <w:tcW w:w="2672" w:type="dxa"/>
            <w:gridSpan w:val="2"/>
            <w:tcBorders>
              <w:top w:val="single" w:color="auto" w:sz="4" w:space="0"/>
              <w:left w:val="nil"/>
              <w:bottom w:val="single" w:color="auto" w:sz="4" w:space="0"/>
              <w:right w:val="nil"/>
            </w:tcBorders>
            <w:vAlign w:val="center"/>
          </w:tcPr>
          <w:p>
            <w:pPr>
              <w:widowControl/>
              <w:spacing w:line="410" w:lineRule="exact"/>
              <w:rPr>
                <w:rFonts w:ascii="宋体" w:hAnsi="宋体" w:cs="宋体"/>
                <w:b/>
                <w:bCs/>
                <w:kern w:val="0"/>
                <w:szCs w:val="21"/>
              </w:rPr>
            </w:pPr>
            <w:r>
              <w:rPr>
                <w:rFonts w:hint="eastAsia" w:ascii="宋体" w:hAnsi="宋体" w:cs="宋体"/>
                <w:b/>
                <w:bCs/>
                <w:kern w:val="0"/>
                <w:szCs w:val="21"/>
              </w:rPr>
              <w:t>省级定点救治医院（万元）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三级医院（万元）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 xml:space="preserve"> 二级医院（万元）</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0.62</w:t>
            </w:r>
          </w:p>
        </w:tc>
        <w:tc>
          <w:tcPr>
            <w:tcW w:w="1336"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0.43</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0.60</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0.42</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0.56</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0.42</w:t>
            </w:r>
          </w:p>
        </w:tc>
      </w:tr>
    </w:tbl>
    <w:p>
      <w:pPr>
        <w:pStyle w:val="5"/>
        <w:adjustRightInd w:val="0"/>
        <w:snapToGrid w:val="0"/>
        <w:spacing w:line="430" w:lineRule="exact"/>
        <w:ind w:firstLine="480"/>
        <w:rPr>
          <w:rFonts w:hint="eastAsia" w:ascii="黑体" w:hAnsi="宋体" w:eastAsia="黑体"/>
          <w:snapToGrid w:val="0"/>
          <w:color w:val="000000"/>
          <w:kern w:val="0"/>
          <w:sz w:val="24"/>
        </w:rPr>
      </w:pPr>
      <w:r>
        <w:rPr>
          <w:rFonts w:hint="eastAsia" w:ascii="黑体" w:hAnsi="宋体" w:eastAsia="黑体"/>
          <w:snapToGrid w:val="0"/>
          <w:color w:val="000000"/>
          <w:kern w:val="0"/>
          <w:sz w:val="24"/>
        </w:rPr>
        <w:t>四、肺癌</w:t>
      </w:r>
    </w:p>
    <w:p>
      <w:pPr>
        <w:adjustRightInd w:val="0"/>
        <w:snapToGrid w:val="0"/>
        <w:spacing w:line="430" w:lineRule="exact"/>
        <w:ind w:firstLine="360" w:firstLineChars="15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1.以原发性肺癌（ICD-10：C34/D02.2）为第一诊断的患者。</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2.临床分期（UICC 2009）为I期、</w:t>
      </w:r>
      <w:r>
        <w:rPr>
          <w:rFonts w:ascii="宋体" w:hAnsi="宋体"/>
          <w:snapToGrid w:val="0"/>
          <w:color w:val="000000"/>
          <w:kern w:val="0"/>
          <w:sz w:val="24"/>
        </w:rPr>
        <w:fldChar w:fldCharType="begin"/>
      </w:r>
      <w:r>
        <w:rPr>
          <w:rFonts w:ascii="宋体" w:hAnsi="宋体"/>
          <w:snapToGrid w:val="0"/>
          <w:color w:val="000000"/>
          <w:kern w:val="0"/>
          <w:sz w:val="24"/>
        </w:rPr>
        <w:instrText xml:space="preserve"> </w:instrText>
      </w:r>
      <w:r>
        <w:rPr>
          <w:rFonts w:hint="eastAsia" w:ascii="宋体" w:hAnsi="宋体"/>
          <w:snapToGrid w:val="0"/>
          <w:color w:val="000000"/>
          <w:kern w:val="0"/>
          <w:sz w:val="24"/>
        </w:rPr>
        <w:instrText xml:space="preserve">= 2 \* ROMAN</w:instrText>
      </w:r>
      <w:r>
        <w:rPr>
          <w:rFonts w:ascii="宋体" w:hAnsi="宋体"/>
          <w:snapToGrid w:val="0"/>
          <w:color w:val="000000"/>
          <w:kern w:val="0"/>
          <w:sz w:val="24"/>
        </w:rPr>
        <w:instrText xml:space="preserve"> </w:instrText>
      </w:r>
      <w:r>
        <w:rPr>
          <w:rFonts w:ascii="宋体" w:hAnsi="宋体"/>
          <w:snapToGrid w:val="0"/>
          <w:color w:val="000000"/>
          <w:kern w:val="0"/>
          <w:sz w:val="24"/>
        </w:rPr>
        <w:fldChar w:fldCharType="separate"/>
      </w:r>
      <w:r>
        <w:rPr>
          <w:rFonts w:ascii="宋体" w:hAnsi="宋体"/>
          <w:snapToGrid w:val="0"/>
          <w:color w:val="000000"/>
          <w:kern w:val="0"/>
          <w:sz w:val="24"/>
        </w:rPr>
        <w:t>II</w:t>
      </w:r>
      <w:r>
        <w:rPr>
          <w:rFonts w:ascii="宋体" w:hAnsi="宋体"/>
          <w:snapToGrid w:val="0"/>
          <w:color w:val="000000"/>
          <w:kern w:val="0"/>
          <w:sz w:val="24"/>
        </w:rPr>
        <w:fldChar w:fldCharType="end"/>
      </w:r>
      <w:r>
        <w:rPr>
          <w:rFonts w:hint="eastAsia" w:ascii="宋体" w:hAnsi="宋体"/>
          <w:snapToGrid w:val="0"/>
          <w:color w:val="000000"/>
          <w:kern w:val="0"/>
          <w:sz w:val="24"/>
        </w:rPr>
        <w:t>期、和可完全性切除的IIIA期非小细胞肺癌。</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3.临床分期（UICC 2009）为T</w:t>
      </w:r>
      <w:r>
        <w:rPr>
          <w:rFonts w:hint="eastAsia" w:ascii="宋体" w:hAnsi="宋体"/>
          <w:snapToGrid w:val="0"/>
          <w:color w:val="000000"/>
          <w:kern w:val="0"/>
          <w:sz w:val="24"/>
          <w:vertAlign w:val="subscript"/>
        </w:rPr>
        <w:t>1-2</w:t>
      </w:r>
      <w:r>
        <w:rPr>
          <w:rFonts w:hint="eastAsia" w:ascii="宋体" w:hAnsi="宋体"/>
          <w:snapToGrid w:val="0"/>
          <w:color w:val="000000"/>
          <w:kern w:val="0"/>
          <w:sz w:val="24"/>
        </w:rPr>
        <w:t>N</w:t>
      </w:r>
      <w:r>
        <w:rPr>
          <w:rFonts w:hint="eastAsia" w:ascii="宋体" w:hAnsi="宋体"/>
          <w:snapToGrid w:val="0"/>
          <w:color w:val="000000"/>
          <w:kern w:val="0"/>
          <w:sz w:val="24"/>
          <w:vertAlign w:val="subscript"/>
        </w:rPr>
        <w:t>0</w:t>
      </w:r>
      <w:r>
        <w:rPr>
          <w:rFonts w:hint="eastAsia" w:ascii="宋体" w:hAnsi="宋体"/>
          <w:snapToGrid w:val="0"/>
          <w:color w:val="000000"/>
          <w:kern w:val="0"/>
          <w:sz w:val="24"/>
        </w:rPr>
        <w:t>M</w:t>
      </w:r>
      <w:r>
        <w:rPr>
          <w:rFonts w:hint="eastAsia" w:ascii="宋体" w:hAnsi="宋体"/>
          <w:snapToGrid w:val="0"/>
          <w:color w:val="000000"/>
          <w:kern w:val="0"/>
          <w:sz w:val="24"/>
          <w:vertAlign w:val="subscript"/>
        </w:rPr>
        <w:t>0</w:t>
      </w:r>
      <w:r>
        <w:rPr>
          <w:rFonts w:hint="eastAsia" w:ascii="宋体" w:hAnsi="宋体"/>
          <w:snapToGrid w:val="0"/>
          <w:color w:val="000000"/>
          <w:kern w:val="0"/>
          <w:sz w:val="24"/>
        </w:rPr>
        <w:t>的小细胞肺癌。</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4.行肺局部切除/肺叶切除/全肺切除/开胸探查术</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(ICD-9-CM-3:32.29/32.3-32.5)。</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在定点医疗机构实施手术治疗发生的费用，纳入新农合重大疾病按病种付费范围。</w:t>
      </w:r>
    </w:p>
    <w:p>
      <w:pPr>
        <w:adjustRightInd w:val="0"/>
        <w:snapToGrid w:val="0"/>
        <w:spacing w:line="430" w:lineRule="exact"/>
        <w:ind w:firstLine="360" w:firstLineChars="15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治疗过程需严格按照</w:t>
      </w:r>
      <w:r>
        <w:rPr>
          <w:rFonts w:hint="eastAsia" w:ascii="宋体" w:hAnsi="宋体" w:cs="宋体"/>
          <w:snapToGrid w:val="0"/>
          <w:color w:val="000000"/>
          <w:kern w:val="0"/>
          <w:sz w:val="24"/>
        </w:rPr>
        <w:t>《原发性肺癌手术临床路径（2012年版）》</w:t>
      </w:r>
      <w:r>
        <w:rPr>
          <w:rFonts w:hint="eastAsia" w:ascii="宋体" w:hAnsi="宋体"/>
          <w:snapToGrid w:val="0"/>
          <w:color w:val="000000"/>
          <w:kern w:val="0"/>
          <w:sz w:val="24"/>
        </w:rPr>
        <w:t>执行，方可实行按病种付费。</w:t>
      </w:r>
    </w:p>
    <w:p>
      <w:pPr>
        <w:adjustRightInd w:val="0"/>
        <w:snapToGrid w:val="0"/>
        <w:spacing w:line="430" w:lineRule="exact"/>
        <w:ind w:firstLine="360" w:firstLineChars="15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（三）支付标准。</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支付的费用包括患者每次住院期间发生的费用（含术后1个周期的化疗）。医院应按照定额支付标准收取费用，其中三级医院相应标准的70%，二级医院相应标准的75%由新农合基金支付。</w:t>
      </w:r>
    </w:p>
    <w:p>
      <w:pPr>
        <w:spacing w:line="430" w:lineRule="exact"/>
        <w:jc w:val="center"/>
        <w:rPr>
          <w:rFonts w:hint="eastAsia" w:ascii="宋体" w:hAnsi="宋体"/>
          <w:sz w:val="24"/>
        </w:rPr>
      </w:pPr>
      <w:r>
        <w:rPr>
          <w:rFonts w:hint="eastAsia" w:ascii="宋体" w:hAnsi="宋体"/>
          <w:sz w:val="24"/>
        </w:rPr>
        <w:t>表4  肺癌住院治疗费用的定额支付标准</w:t>
      </w:r>
    </w:p>
    <w:tbl>
      <w:tblPr>
        <w:tblStyle w:val="4"/>
        <w:tblW w:w="7484" w:type="dxa"/>
        <w:jc w:val="center"/>
        <w:tblInd w:w="0" w:type="dxa"/>
        <w:tblLayout w:type="fixed"/>
        <w:tblCellMar>
          <w:top w:w="0" w:type="dxa"/>
          <w:left w:w="28" w:type="dxa"/>
          <w:bottom w:w="0" w:type="dxa"/>
          <w:right w:w="28" w:type="dxa"/>
        </w:tblCellMar>
      </w:tblPr>
      <w:tblGrid>
        <w:gridCol w:w="1336"/>
        <w:gridCol w:w="1336"/>
        <w:gridCol w:w="1203"/>
        <w:gridCol w:w="1203"/>
        <w:gridCol w:w="1203"/>
        <w:gridCol w:w="1203"/>
      </w:tblGrid>
      <w:tr>
        <w:tblPrEx>
          <w:tblLayout w:type="fixed"/>
          <w:tblCellMar>
            <w:top w:w="0" w:type="dxa"/>
            <w:left w:w="28" w:type="dxa"/>
            <w:bottom w:w="0" w:type="dxa"/>
            <w:right w:w="28" w:type="dxa"/>
          </w:tblCellMar>
        </w:tblPrEx>
        <w:trPr>
          <w:trHeight w:val="450" w:hRule="atLeast"/>
          <w:jc w:val="center"/>
        </w:trPr>
        <w:tc>
          <w:tcPr>
            <w:tcW w:w="2672" w:type="dxa"/>
            <w:gridSpan w:val="2"/>
            <w:tcBorders>
              <w:top w:val="single" w:color="auto" w:sz="4" w:space="0"/>
              <w:left w:val="nil"/>
              <w:bottom w:val="single" w:color="auto" w:sz="4" w:space="0"/>
              <w:right w:val="nil"/>
            </w:tcBorders>
            <w:vAlign w:val="center"/>
          </w:tcPr>
          <w:p>
            <w:pPr>
              <w:widowControl/>
              <w:spacing w:line="410" w:lineRule="exact"/>
              <w:rPr>
                <w:rFonts w:ascii="宋体" w:hAnsi="宋体" w:cs="宋体"/>
                <w:b/>
                <w:bCs/>
                <w:kern w:val="0"/>
                <w:szCs w:val="21"/>
              </w:rPr>
            </w:pPr>
            <w:r>
              <w:rPr>
                <w:rFonts w:hint="eastAsia" w:ascii="宋体" w:hAnsi="宋体" w:cs="宋体"/>
                <w:b/>
                <w:bCs/>
                <w:kern w:val="0"/>
                <w:szCs w:val="21"/>
              </w:rPr>
              <w:t>省级定点救治医院（万元）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三级医院（万元）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 xml:space="preserve"> 二级医院（万元）</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3.4</w:t>
            </w:r>
          </w:p>
        </w:tc>
        <w:tc>
          <w:tcPr>
            <w:tcW w:w="1336"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2.38</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3.04</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2.13</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2.7</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2.03</w:t>
            </w:r>
          </w:p>
        </w:tc>
      </w:tr>
    </w:tbl>
    <w:p>
      <w:pPr>
        <w:adjustRightInd w:val="0"/>
        <w:snapToGrid w:val="0"/>
        <w:spacing w:line="430" w:lineRule="exact"/>
        <w:ind w:firstLine="480" w:firstLineChars="200"/>
        <w:rPr>
          <w:rFonts w:hint="eastAsia" w:ascii="黑体" w:hAnsi="宋体" w:eastAsia="黑体"/>
          <w:snapToGrid w:val="0"/>
          <w:color w:val="000000"/>
          <w:kern w:val="0"/>
          <w:sz w:val="24"/>
        </w:rPr>
      </w:pPr>
      <w:r>
        <w:rPr>
          <w:rFonts w:hint="eastAsia" w:ascii="黑体" w:hAnsi="宋体" w:eastAsia="黑体"/>
          <w:snapToGrid w:val="0"/>
          <w:color w:val="000000"/>
          <w:kern w:val="0"/>
          <w:sz w:val="24"/>
        </w:rPr>
        <w:t>五、宫颈癌</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以</w:t>
      </w:r>
      <w:r>
        <w:rPr>
          <w:rFonts w:ascii="宋体" w:hAnsi="宋体"/>
          <w:snapToGrid w:val="0"/>
          <w:color w:val="000000"/>
          <w:kern w:val="0"/>
          <w:sz w:val="24"/>
        </w:rPr>
        <w:t>宫颈癌（ICD-10：C53）</w:t>
      </w:r>
      <w:r>
        <w:rPr>
          <w:rFonts w:hint="eastAsia" w:ascii="宋体" w:hAnsi="宋体"/>
          <w:snapToGrid w:val="0"/>
          <w:color w:val="000000"/>
          <w:kern w:val="0"/>
          <w:sz w:val="24"/>
        </w:rPr>
        <w:t>Ⅰ</w:t>
      </w:r>
      <w:r>
        <w:rPr>
          <w:rFonts w:ascii="宋体" w:hAnsi="宋体"/>
          <w:snapToGrid w:val="0"/>
          <w:color w:val="000000"/>
          <w:kern w:val="0"/>
          <w:sz w:val="24"/>
        </w:rPr>
        <w:t>a2期-</w:t>
      </w:r>
      <w:r>
        <w:rPr>
          <w:rFonts w:hint="eastAsia" w:ascii="宋体" w:hAnsi="宋体"/>
          <w:snapToGrid w:val="0"/>
          <w:color w:val="000000"/>
          <w:kern w:val="0"/>
          <w:sz w:val="24"/>
        </w:rPr>
        <w:t>Ⅱ</w:t>
      </w:r>
      <w:r>
        <w:rPr>
          <w:rFonts w:ascii="宋体" w:hAnsi="宋体"/>
          <w:snapToGrid w:val="0"/>
          <w:color w:val="000000"/>
          <w:kern w:val="0"/>
          <w:sz w:val="24"/>
        </w:rPr>
        <w:t>a期</w:t>
      </w:r>
      <w:r>
        <w:rPr>
          <w:rFonts w:hint="eastAsia" w:ascii="宋体" w:hAnsi="宋体"/>
          <w:snapToGrid w:val="0"/>
          <w:color w:val="000000"/>
          <w:kern w:val="0"/>
          <w:sz w:val="24"/>
        </w:rPr>
        <w:t>为</w:t>
      </w:r>
      <w:r>
        <w:rPr>
          <w:rFonts w:ascii="宋体" w:hAnsi="宋体"/>
          <w:snapToGrid w:val="0"/>
          <w:color w:val="000000"/>
          <w:kern w:val="0"/>
          <w:sz w:val="24"/>
        </w:rPr>
        <w:t>第一诊断</w:t>
      </w:r>
      <w:r>
        <w:rPr>
          <w:rFonts w:hint="eastAsia" w:ascii="宋体" w:hAnsi="宋体"/>
          <w:snapToGrid w:val="0"/>
          <w:color w:val="000000"/>
          <w:kern w:val="0"/>
          <w:sz w:val="24"/>
        </w:rPr>
        <w:t>，行手术治疗的患者，在定点医疗机构实施手术治疗（含附件切除或卵巢移位手术）发生的费用，纳入新农合重大疾病按病种付费范围。</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治疗过程需严格按照《</w:t>
      </w:r>
      <w:r>
        <w:rPr>
          <w:rFonts w:ascii="宋体" w:hAnsi="宋体" w:cs="宋体"/>
          <w:snapToGrid w:val="0"/>
          <w:color w:val="000000"/>
          <w:kern w:val="0"/>
          <w:sz w:val="24"/>
        </w:rPr>
        <w:t>宫颈癌临床路径（2009年版）</w:t>
      </w:r>
      <w:r>
        <w:rPr>
          <w:rFonts w:hint="eastAsia" w:ascii="宋体" w:hAnsi="宋体" w:cs="宋体"/>
          <w:snapToGrid w:val="0"/>
          <w:color w:val="000000"/>
          <w:kern w:val="0"/>
          <w:sz w:val="24"/>
        </w:rPr>
        <w:t>》</w:t>
      </w:r>
      <w:r>
        <w:rPr>
          <w:rFonts w:hint="eastAsia" w:ascii="宋体" w:hAnsi="宋体"/>
          <w:snapToGrid w:val="0"/>
          <w:color w:val="000000"/>
          <w:kern w:val="0"/>
          <w:sz w:val="24"/>
        </w:rPr>
        <w:t>执行，方可实行按病种付费。</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（三）支付标准。</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支付的费用包括患者每次住院期间发生的费用（含术后1个周期的化疗）。医院应按照定额支付标准收取费用，其中三级医院相应标准的70%，二级医院相应标准的75%由新农合基金支付。</w:t>
      </w:r>
    </w:p>
    <w:p>
      <w:pPr>
        <w:adjustRightInd w:val="0"/>
        <w:snapToGrid w:val="0"/>
        <w:spacing w:line="430" w:lineRule="exact"/>
        <w:ind w:firstLine="480" w:firstLineChars="200"/>
        <w:rPr>
          <w:rFonts w:ascii="宋体" w:hAnsi="宋体"/>
          <w:snapToGrid w:val="0"/>
          <w:color w:val="000000"/>
          <w:kern w:val="0"/>
          <w:sz w:val="24"/>
        </w:rPr>
      </w:pPr>
    </w:p>
    <w:p>
      <w:pPr>
        <w:adjustRightInd w:val="0"/>
        <w:snapToGrid w:val="0"/>
        <w:spacing w:line="430" w:lineRule="exact"/>
        <w:jc w:val="center"/>
        <w:rPr>
          <w:rFonts w:hint="eastAsia" w:ascii="宋体" w:hAnsi="宋体"/>
          <w:snapToGrid w:val="0"/>
          <w:color w:val="000000"/>
          <w:kern w:val="0"/>
          <w:sz w:val="24"/>
        </w:rPr>
      </w:pPr>
      <w:r>
        <w:rPr>
          <w:rFonts w:hint="eastAsia" w:ascii="宋体" w:hAnsi="宋体"/>
          <w:snapToGrid w:val="0"/>
          <w:color w:val="000000"/>
          <w:kern w:val="0"/>
          <w:sz w:val="24"/>
        </w:rPr>
        <w:t>表5  宫颈癌住院治疗费用的定额支付标准</w:t>
      </w:r>
    </w:p>
    <w:tbl>
      <w:tblPr>
        <w:tblStyle w:val="4"/>
        <w:tblW w:w="7484" w:type="dxa"/>
        <w:jc w:val="center"/>
        <w:tblInd w:w="0" w:type="dxa"/>
        <w:tblLayout w:type="fixed"/>
        <w:tblCellMar>
          <w:top w:w="0" w:type="dxa"/>
          <w:left w:w="28" w:type="dxa"/>
          <w:bottom w:w="0" w:type="dxa"/>
          <w:right w:w="28" w:type="dxa"/>
        </w:tblCellMar>
      </w:tblPr>
      <w:tblGrid>
        <w:gridCol w:w="1336"/>
        <w:gridCol w:w="1336"/>
        <w:gridCol w:w="1203"/>
        <w:gridCol w:w="1203"/>
        <w:gridCol w:w="1203"/>
        <w:gridCol w:w="1203"/>
      </w:tblGrid>
      <w:tr>
        <w:tblPrEx>
          <w:tblLayout w:type="fixed"/>
          <w:tblCellMar>
            <w:top w:w="0" w:type="dxa"/>
            <w:left w:w="28" w:type="dxa"/>
            <w:bottom w:w="0" w:type="dxa"/>
            <w:right w:w="28" w:type="dxa"/>
          </w:tblCellMar>
        </w:tblPrEx>
        <w:trPr>
          <w:trHeight w:val="450" w:hRule="atLeast"/>
          <w:jc w:val="center"/>
        </w:trPr>
        <w:tc>
          <w:tcPr>
            <w:tcW w:w="2672" w:type="dxa"/>
            <w:gridSpan w:val="2"/>
            <w:tcBorders>
              <w:top w:val="single" w:color="auto" w:sz="4" w:space="0"/>
              <w:left w:val="nil"/>
              <w:bottom w:val="single" w:color="auto" w:sz="4" w:space="0"/>
              <w:right w:val="nil"/>
            </w:tcBorders>
            <w:vAlign w:val="center"/>
          </w:tcPr>
          <w:p>
            <w:pPr>
              <w:widowControl/>
              <w:spacing w:line="410" w:lineRule="exact"/>
              <w:rPr>
                <w:rFonts w:ascii="宋体" w:hAnsi="宋体" w:cs="宋体"/>
                <w:b/>
                <w:bCs/>
                <w:kern w:val="0"/>
                <w:szCs w:val="21"/>
              </w:rPr>
            </w:pPr>
            <w:r>
              <w:rPr>
                <w:rFonts w:hint="eastAsia" w:ascii="宋体" w:hAnsi="宋体" w:cs="宋体"/>
                <w:b/>
                <w:bCs/>
                <w:kern w:val="0"/>
                <w:szCs w:val="21"/>
              </w:rPr>
              <w:t>省级定点救治医院（万元）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三级医院（万元）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 xml:space="preserve"> 二级医院（万元）</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3.4</w:t>
            </w:r>
          </w:p>
        </w:tc>
        <w:tc>
          <w:tcPr>
            <w:tcW w:w="1336"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2.38</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3.04</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2.13</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2.7</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2.03</w:t>
            </w:r>
          </w:p>
        </w:tc>
      </w:tr>
    </w:tbl>
    <w:p>
      <w:pPr>
        <w:adjustRightInd w:val="0"/>
        <w:snapToGrid w:val="0"/>
        <w:spacing w:line="430" w:lineRule="exact"/>
        <w:ind w:firstLine="480" w:firstLineChars="200"/>
        <w:rPr>
          <w:rFonts w:hint="eastAsia" w:ascii="黑体" w:hAnsi="宋体" w:eastAsia="黑体"/>
          <w:snapToGrid w:val="0"/>
          <w:color w:val="000000"/>
          <w:kern w:val="0"/>
          <w:sz w:val="24"/>
        </w:rPr>
      </w:pPr>
      <w:r>
        <w:rPr>
          <w:rFonts w:hint="eastAsia" w:ascii="黑体" w:hAnsi="宋体" w:eastAsia="黑体"/>
          <w:snapToGrid w:val="0"/>
          <w:color w:val="000000"/>
          <w:kern w:val="0"/>
          <w:sz w:val="24"/>
        </w:rPr>
        <w:t>六、乳腺癌</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乳腺癌改良根治术适用对象：</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1.以乳腺癌（ICD-10：C50</w:t>
      </w:r>
      <w:r>
        <w:rPr>
          <w:rFonts w:ascii="宋体" w:hAnsi="宋体"/>
          <w:snapToGrid w:val="0"/>
          <w:color w:val="000000"/>
          <w:kern w:val="0"/>
          <w:sz w:val="24"/>
        </w:rPr>
        <w:t>／D05</w:t>
      </w:r>
      <w:r>
        <w:rPr>
          <w:rFonts w:hint="eastAsia" w:ascii="宋体" w:hAnsi="宋体"/>
          <w:snapToGrid w:val="0"/>
          <w:color w:val="000000"/>
          <w:kern w:val="0"/>
          <w:sz w:val="24"/>
        </w:rPr>
        <w:t>）为第一诊断，行乳腺癌改良根治术（ICD-9-CM-3:85.43或85.44）的患者。</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2.可手术乳腺癌：0、I、</w:t>
      </w:r>
      <w:r>
        <w:rPr>
          <w:rFonts w:ascii="宋体" w:hAnsi="宋体"/>
          <w:snapToGrid w:val="0"/>
          <w:color w:val="000000"/>
          <w:kern w:val="0"/>
          <w:sz w:val="24"/>
        </w:rPr>
        <w:fldChar w:fldCharType="begin"/>
      </w:r>
      <w:r>
        <w:rPr>
          <w:rFonts w:ascii="宋体" w:hAnsi="宋体"/>
          <w:snapToGrid w:val="0"/>
          <w:color w:val="000000"/>
          <w:kern w:val="0"/>
          <w:sz w:val="24"/>
        </w:rPr>
        <w:instrText xml:space="preserve"> </w:instrText>
      </w:r>
      <w:r>
        <w:rPr>
          <w:rFonts w:hint="eastAsia" w:ascii="宋体" w:hAnsi="宋体"/>
          <w:snapToGrid w:val="0"/>
          <w:color w:val="000000"/>
          <w:kern w:val="0"/>
          <w:sz w:val="24"/>
        </w:rPr>
        <w:instrText xml:space="preserve">= 2 \* ROMAN</w:instrText>
      </w:r>
      <w:r>
        <w:rPr>
          <w:rFonts w:ascii="宋体" w:hAnsi="宋体"/>
          <w:snapToGrid w:val="0"/>
          <w:color w:val="000000"/>
          <w:kern w:val="0"/>
          <w:sz w:val="24"/>
        </w:rPr>
        <w:instrText xml:space="preserve"> </w:instrText>
      </w:r>
      <w:r>
        <w:rPr>
          <w:rFonts w:ascii="宋体" w:hAnsi="宋体"/>
          <w:snapToGrid w:val="0"/>
          <w:color w:val="000000"/>
          <w:kern w:val="0"/>
          <w:sz w:val="24"/>
        </w:rPr>
        <w:fldChar w:fldCharType="separate"/>
      </w:r>
      <w:r>
        <w:rPr>
          <w:rFonts w:ascii="宋体" w:hAnsi="宋体"/>
          <w:snapToGrid w:val="0"/>
          <w:color w:val="000000"/>
          <w:kern w:val="0"/>
          <w:sz w:val="24"/>
        </w:rPr>
        <w:t>II</w:t>
      </w:r>
      <w:r>
        <w:rPr>
          <w:rFonts w:ascii="宋体" w:hAnsi="宋体"/>
          <w:snapToGrid w:val="0"/>
          <w:color w:val="000000"/>
          <w:kern w:val="0"/>
          <w:sz w:val="24"/>
        </w:rPr>
        <w:fldChar w:fldCharType="end"/>
      </w:r>
      <w:r>
        <w:rPr>
          <w:rFonts w:hint="eastAsia" w:ascii="宋体" w:hAnsi="宋体"/>
          <w:snapToGrid w:val="0"/>
          <w:color w:val="000000"/>
          <w:kern w:val="0"/>
          <w:sz w:val="24"/>
        </w:rPr>
        <w:t>A（T</w:t>
      </w:r>
      <w:r>
        <w:rPr>
          <w:rFonts w:hint="eastAsia" w:ascii="宋体" w:hAnsi="宋体"/>
          <w:snapToGrid w:val="0"/>
          <w:color w:val="000000"/>
          <w:kern w:val="0"/>
          <w:sz w:val="24"/>
          <w:vertAlign w:val="subscript"/>
        </w:rPr>
        <w:t>2</w:t>
      </w:r>
      <w:r>
        <w:rPr>
          <w:rFonts w:hint="eastAsia" w:ascii="宋体" w:hAnsi="宋体"/>
          <w:snapToGrid w:val="0"/>
          <w:color w:val="000000"/>
          <w:kern w:val="0"/>
          <w:sz w:val="24"/>
        </w:rPr>
        <w:t>，N</w:t>
      </w:r>
      <w:r>
        <w:rPr>
          <w:rFonts w:hint="eastAsia" w:ascii="宋体" w:hAnsi="宋体"/>
          <w:snapToGrid w:val="0"/>
          <w:color w:val="000000"/>
          <w:kern w:val="0"/>
          <w:sz w:val="24"/>
          <w:vertAlign w:val="subscript"/>
        </w:rPr>
        <w:t>0</w:t>
      </w:r>
      <w:r>
        <w:rPr>
          <w:rFonts w:hint="eastAsia" w:ascii="宋体" w:hAnsi="宋体"/>
          <w:snapToGrid w:val="0"/>
          <w:color w:val="000000"/>
          <w:kern w:val="0"/>
          <w:sz w:val="24"/>
        </w:rPr>
        <w:t>，M</w:t>
      </w:r>
      <w:r>
        <w:rPr>
          <w:rFonts w:hint="eastAsia" w:ascii="宋体" w:hAnsi="宋体"/>
          <w:snapToGrid w:val="0"/>
          <w:color w:val="000000"/>
          <w:kern w:val="0"/>
          <w:sz w:val="24"/>
          <w:vertAlign w:val="subscript"/>
        </w:rPr>
        <w:t>0</w:t>
      </w:r>
      <w:r>
        <w:rPr>
          <w:rFonts w:hint="eastAsia" w:ascii="宋体" w:hAnsi="宋体"/>
          <w:snapToGrid w:val="0"/>
          <w:color w:val="000000"/>
          <w:kern w:val="0"/>
          <w:sz w:val="24"/>
        </w:rPr>
        <w:t>）、IIB（T</w:t>
      </w:r>
      <w:r>
        <w:rPr>
          <w:rFonts w:hint="eastAsia" w:ascii="宋体" w:hAnsi="宋体"/>
          <w:snapToGrid w:val="0"/>
          <w:color w:val="000000"/>
          <w:kern w:val="0"/>
          <w:sz w:val="24"/>
          <w:vertAlign w:val="subscript"/>
        </w:rPr>
        <w:t>2</w:t>
      </w:r>
      <w:r>
        <w:rPr>
          <w:rFonts w:hint="eastAsia" w:ascii="宋体" w:hAnsi="宋体"/>
          <w:snapToGrid w:val="0"/>
          <w:color w:val="000000"/>
          <w:kern w:val="0"/>
          <w:sz w:val="24"/>
        </w:rPr>
        <w:t>，N</w:t>
      </w:r>
      <w:r>
        <w:rPr>
          <w:rFonts w:hint="eastAsia" w:ascii="宋体" w:hAnsi="宋体"/>
          <w:snapToGrid w:val="0"/>
          <w:color w:val="000000"/>
          <w:kern w:val="0"/>
          <w:sz w:val="24"/>
          <w:vertAlign w:val="subscript"/>
        </w:rPr>
        <w:t>1</w:t>
      </w:r>
      <w:r>
        <w:rPr>
          <w:rFonts w:hint="eastAsia" w:ascii="宋体" w:hAnsi="宋体"/>
          <w:snapToGrid w:val="0"/>
          <w:color w:val="000000"/>
          <w:kern w:val="0"/>
          <w:sz w:val="24"/>
        </w:rPr>
        <w:t>，M</w:t>
      </w:r>
      <w:r>
        <w:rPr>
          <w:rFonts w:hint="eastAsia" w:ascii="宋体" w:hAnsi="宋体"/>
          <w:snapToGrid w:val="0"/>
          <w:color w:val="000000"/>
          <w:kern w:val="0"/>
          <w:sz w:val="24"/>
          <w:vertAlign w:val="subscript"/>
        </w:rPr>
        <w:t>0</w:t>
      </w:r>
      <w:r>
        <w:rPr>
          <w:rFonts w:hint="eastAsia" w:ascii="宋体" w:hAnsi="宋体"/>
          <w:snapToGrid w:val="0"/>
          <w:color w:val="000000"/>
          <w:kern w:val="0"/>
          <w:sz w:val="24"/>
        </w:rPr>
        <w:t>或T</w:t>
      </w:r>
      <w:r>
        <w:rPr>
          <w:rFonts w:hint="eastAsia" w:ascii="宋体" w:hAnsi="宋体"/>
          <w:snapToGrid w:val="0"/>
          <w:color w:val="000000"/>
          <w:kern w:val="0"/>
          <w:sz w:val="24"/>
          <w:vertAlign w:val="subscript"/>
        </w:rPr>
        <w:t>3</w:t>
      </w:r>
      <w:r>
        <w:rPr>
          <w:rFonts w:hint="eastAsia" w:ascii="宋体" w:hAnsi="宋体"/>
          <w:snapToGrid w:val="0"/>
          <w:color w:val="000000"/>
          <w:kern w:val="0"/>
          <w:sz w:val="24"/>
        </w:rPr>
        <w:t>，N</w:t>
      </w:r>
      <w:r>
        <w:rPr>
          <w:rFonts w:hint="eastAsia" w:ascii="宋体" w:hAnsi="宋体"/>
          <w:snapToGrid w:val="0"/>
          <w:color w:val="000000"/>
          <w:kern w:val="0"/>
          <w:sz w:val="24"/>
          <w:vertAlign w:val="subscript"/>
        </w:rPr>
        <w:t>0</w:t>
      </w:r>
      <w:r>
        <w:rPr>
          <w:rFonts w:hint="eastAsia" w:ascii="宋体" w:hAnsi="宋体"/>
          <w:snapToGrid w:val="0"/>
          <w:color w:val="000000"/>
          <w:kern w:val="0"/>
          <w:sz w:val="24"/>
        </w:rPr>
        <w:t>，M</w:t>
      </w:r>
      <w:r>
        <w:rPr>
          <w:rFonts w:hint="eastAsia" w:ascii="宋体" w:hAnsi="宋体"/>
          <w:snapToGrid w:val="0"/>
          <w:color w:val="000000"/>
          <w:kern w:val="0"/>
          <w:sz w:val="24"/>
          <w:vertAlign w:val="subscript"/>
        </w:rPr>
        <w:t>0</w:t>
      </w:r>
      <w:r>
        <w:rPr>
          <w:rFonts w:hint="eastAsia" w:ascii="宋体" w:hAnsi="宋体"/>
          <w:snapToGrid w:val="0"/>
          <w:color w:val="000000"/>
          <w:kern w:val="0"/>
          <w:sz w:val="24"/>
        </w:rPr>
        <w:t>）或</w:t>
      </w:r>
      <w:r>
        <w:rPr>
          <w:rFonts w:ascii="宋体" w:hAnsi="宋体"/>
          <w:snapToGrid w:val="0"/>
          <w:color w:val="000000"/>
          <w:kern w:val="0"/>
          <w:sz w:val="24"/>
        </w:rPr>
        <w:fldChar w:fldCharType="begin"/>
      </w:r>
      <w:r>
        <w:rPr>
          <w:rFonts w:ascii="宋体" w:hAnsi="宋体"/>
          <w:snapToGrid w:val="0"/>
          <w:color w:val="000000"/>
          <w:kern w:val="0"/>
          <w:sz w:val="24"/>
        </w:rPr>
        <w:instrText xml:space="preserve"> </w:instrText>
      </w:r>
      <w:r>
        <w:rPr>
          <w:rFonts w:hint="eastAsia" w:ascii="宋体" w:hAnsi="宋体"/>
          <w:snapToGrid w:val="0"/>
          <w:color w:val="000000"/>
          <w:kern w:val="0"/>
          <w:sz w:val="24"/>
        </w:rPr>
        <w:instrText xml:space="preserve">= 3 \* ROMAN</w:instrText>
      </w:r>
      <w:r>
        <w:rPr>
          <w:rFonts w:ascii="宋体" w:hAnsi="宋体"/>
          <w:snapToGrid w:val="0"/>
          <w:color w:val="000000"/>
          <w:kern w:val="0"/>
          <w:sz w:val="24"/>
        </w:rPr>
        <w:instrText xml:space="preserve"> </w:instrText>
      </w:r>
      <w:r>
        <w:rPr>
          <w:rFonts w:ascii="宋体" w:hAnsi="宋体"/>
          <w:snapToGrid w:val="0"/>
          <w:color w:val="000000"/>
          <w:kern w:val="0"/>
          <w:sz w:val="24"/>
        </w:rPr>
        <w:fldChar w:fldCharType="separate"/>
      </w:r>
      <w:r>
        <w:rPr>
          <w:rFonts w:ascii="宋体" w:hAnsi="宋体"/>
          <w:snapToGrid w:val="0"/>
          <w:color w:val="000000"/>
          <w:kern w:val="0"/>
          <w:sz w:val="24"/>
        </w:rPr>
        <w:t>III</w:t>
      </w:r>
      <w:r>
        <w:rPr>
          <w:rFonts w:ascii="宋体" w:hAnsi="宋体"/>
          <w:snapToGrid w:val="0"/>
          <w:color w:val="000000"/>
          <w:kern w:val="0"/>
          <w:sz w:val="24"/>
        </w:rPr>
        <w:fldChar w:fldCharType="end"/>
      </w:r>
      <w:r>
        <w:rPr>
          <w:rFonts w:hint="eastAsia" w:ascii="宋体" w:hAnsi="宋体"/>
          <w:snapToGrid w:val="0"/>
          <w:color w:val="000000"/>
          <w:kern w:val="0"/>
          <w:sz w:val="24"/>
        </w:rPr>
        <w:t>A（仅T</w:t>
      </w:r>
      <w:r>
        <w:rPr>
          <w:rFonts w:hint="eastAsia" w:ascii="宋体" w:hAnsi="宋体"/>
          <w:snapToGrid w:val="0"/>
          <w:color w:val="000000"/>
          <w:kern w:val="0"/>
          <w:sz w:val="24"/>
          <w:vertAlign w:val="subscript"/>
        </w:rPr>
        <w:t>3</w:t>
      </w:r>
      <w:r>
        <w:rPr>
          <w:rFonts w:hint="eastAsia" w:ascii="宋体" w:hAnsi="宋体"/>
          <w:snapToGrid w:val="0"/>
          <w:color w:val="000000"/>
          <w:kern w:val="0"/>
          <w:sz w:val="24"/>
        </w:rPr>
        <w:t>N</w:t>
      </w:r>
      <w:r>
        <w:rPr>
          <w:rFonts w:hint="eastAsia" w:ascii="宋体" w:hAnsi="宋体"/>
          <w:snapToGrid w:val="0"/>
          <w:color w:val="000000"/>
          <w:kern w:val="0"/>
          <w:sz w:val="24"/>
          <w:vertAlign w:val="subscript"/>
        </w:rPr>
        <w:t>1</w:t>
      </w:r>
      <w:r>
        <w:rPr>
          <w:rFonts w:hint="eastAsia" w:ascii="宋体" w:hAnsi="宋体"/>
          <w:snapToGrid w:val="0"/>
          <w:color w:val="000000"/>
          <w:kern w:val="0"/>
          <w:sz w:val="24"/>
        </w:rPr>
        <w:t>M</w:t>
      </w:r>
      <w:r>
        <w:rPr>
          <w:rFonts w:hint="eastAsia" w:ascii="宋体" w:hAnsi="宋体"/>
          <w:snapToGrid w:val="0"/>
          <w:color w:val="000000"/>
          <w:kern w:val="0"/>
          <w:sz w:val="24"/>
          <w:vertAlign w:val="subscript"/>
        </w:rPr>
        <w:t>0</w:t>
      </w:r>
      <w:r>
        <w:rPr>
          <w:rFonts w:hint="eastAsia" w:ascii="宋体" w:hAnsi="宋体"/>
          <w:snapToGrid w:val="0"/>
          <w:color w:val="000000"/>
          <w:kern w:val="0"/>
          <w:sz w:val="24"/>
        </w:rPr>
        <w:t>）期的乳腺癌。</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乳腺癌保留乳房手术适用对象：</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1.以乳腺癌（ICD-10：C50</w:t>
      </w:r>
      <w:r>
        <w:rPr>
          <w:rFonts w:ascii="宋体" w:hAnsi="宋体"/>
          <w:snapToGrid w:val="0"/>
          <w:color w:val="000000"/>
          <w:kern w:val="0"/>
          <w:sz w:val="24"/>
        </w:rPr>
        <w:t>／D05</w:t>
      </w:r>
      <w:r>
        <w:rPr>
          <w:rFonts w:hint="eastAsia" w:ascii="宋体" w:hAnsi="宋体"/>
          <w:snapToGrid w:val="0"/>
          <w:color w:val="000000"/>
          <w:kern w:val="0"/>
          <w:sz w:val="24"/>
        </w:rPr>
        <w:t>）为第一诊断，行乳腺癌保留乳房手术（ICD-9-CM-3:85.21或85.22或85.23，以下简称保乳手术）的患者。</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2.可手术乳腺癌0、Ⅰ、部分Ⅱ期患者，及部分Ⅱ、III期（炎性乳腺癌除外）经新辅助化疗降期患者。</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在定点医疗机构实施手术治疗发生的费用，纳入新农合重大疾病按病种付费范围。</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治疗过程需按照</w:t>
      </w:r>
      <w:r>
        <w:rPr>
          <w:rFonts w:hint="eastAsia" w:ascii="宋体" w:hAnsi="宋体" w:cs="宋体"/>
          <w:bCs/>
          <w:snapToGrid w:val="0"/>
          <w:color w:val="000000"/>
          <w:kern w:val="0"/>
          <w:sz w:val="24"/>
        </w:rPr>
        <w:t>《</w:t>
      </w:r>
      <w:r>
        <w:rPr>
          <w:rFonts w:hint="eastAsia" w:ascii="宋体" w:hAnsi="宋体"/>
          <w:snapToGrid w:val="0"/>
          <w:color w:val="000000"/>
          <w:kern w:val="0"/>
          <w:sz w:val="24"/>
        </w:rPr>
        <w:t>乳腺癌改良根治术临床</w:t>
      </w:r>
      <w:r>
        <w:rPr>
          <w:rFonts w:hint="eastAsia" w:ascii="宋体" w:hAnsi="宋体" w:cs="宋体"/>
          <w:bCs/>
          <w:snapToGrid w:val="0"/>
          <w:color w:val="000000"/>
          <w:kern w:val="0"/>
          <w:sz w:val="24"/>
        </w:rPr>
        <w:t>路径（2012版）》、《</w:t>
      </w:r>
      <w:r>
        <w:rPr>
          <w:rFonts w:hint="eastAsia" w:ascii="宋体" w:hAnsi="宋体"/>
          <w:snapToGrid w:val="0"/>
          <w:color w:val="000000"/>
          <w:kern w:val="0"/>
          <w:sz w:val="24"/>
        </w:rPr>
        <w:t>乳腺癌保留乳房手术临床路径（2012版）</w:t>
      </w:r>
      <w:r>
        <w:rPr>
          <w:rFonts w:hint="eastAsia" w:ascii="宋体" w:hAnsi="宋体" w:cs="宋体"/>
          <w:bCs/>
          <w:snapToGrid w:val="0"/>
          <w:color w:val="000000"/>
          <w:kern w:val="0"/>
          <w:sz w:val="24"/>
        </w:rPr>
        <w:t>》</w:t>
      </w:r>
      <w:r>
        <w:rPr>
          <w:rFonts w:hint="eastAsia" w:ascii="宋体" w:hAnsi="宋体"/>
          <w:snapToGrid w:val="0"/>
          <w:color w:val="000000"/>
          <w:kern w:val="0"/>
          <w:sz w:val="24"/>
        </w:rPr>
        <w:t>执行，方可实行按病种付费。</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（三）支付标准。</w:t>
      </w:r>
    </w:p>
    <w:p>
      <w:pPr>
        <w:pStyle w:val="5"/>
        <w:adjustRightInd w:val="0"/>
        <w:snapToGrid w:val="0"/>
        <w:spacing w:line="430" w:lineRule="exact"/>
        <w:ind w:firstLine="480"/>
        <w:rPr>
          <w:rFonts w:hint="eastAsia" w:ascii="宋体" w:hAnsi="宋体"/>
          <w:snapToGrid w:val="0"/>
          <w:color w:val="000000"/>
          <w:kern w:val="0"/>
          <w:sz w:val="24"/>
        </w:rPr>
      </w:pPr>
      <w:r>
        <w:rPr>
          <w:rFonts w:hint="eastAsia" w:ascii="宋体" w:hAnsi="宋体"/>
          <w:snapToGrid w:val="0"/>
          <w:color w:val="000000"/>
          <w:kern w:val="0"/>
          <w:sz w:val="24"/>
        </w:rPr>
        <w:t>支付的费用包括患者每次住院期间发生的费用（含术后1个周期的化疗）。医院应按照定额支付标准收取费用，其中三级医院相应标准的70%，二级医院相应标准的75%由新农合基金支付。</w:t>
      </w:r>
    </w:p>
    <w:p>
      <w:pPr>
        <w:spacing w:line="430" w:lineRule="exact"/>
        <w:jc w:val="center"/>
        <w:rPr>
          <w:rFonts w:hint="eastAsia" w:ascii="宋体" w:hAnsi="宋体"/>
          <w:sz w:val="24"/>
        </w:rPr>
      </w:pPr>
      <w:r>
        <w:rPr>
          <w:rFonts w:hint="eastAsia" w:ascii="宋体" w:hAnsi="宋体"/>
          <w:sz w:val="24"/>
        </w:rPr>
        <w:t>表6  乳腺癌住院治疗费用的定额支付标准</w:t>
      </w:r>
    </w:p>
    <w:tbl>
      <w:tblPr>
        <w:tblStyle w:val="4"/>
        <w:tblW w:w="7484" w:type="dxa"/>
        <w:jc w:val="center"/>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7"/>
        <w:gridCol w:w="1074"/>
        <w:gridCol w:w="1075"/>
        <w:gridCol w:w="1074"/>
        <w:gridCol w:w="1075"/>
        <w:gridCol w:w="1074"/>
        <w:gridCol w:w="107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jc w:val="center"/>
        </w:trPr>
        <w:tc>
          <w:tcPr>
            <w:tcW w:w="1037" w:type="dxa"/>
            <w:tcBorders>
              <w:top w:val="single" w:color="auto" w:sz="4" w:space="0"/>
              <w:bottom w:val="single" w:color="auto" w:sz="4" w:space="0"/>
            </w:tcBorders>
            <w:vAlign w:val="center"/>
          </w:tcPr>
          <w:p>
            <w:pPr>
              <w:widowControl/>
              <w:spacing w:line="410" w:lineRule="exact"/>
              <w:jc w:val="center"/>
              <w:rPr>
                <w:rFonts w:ascii="宋体" w:hAnsi="宋体" w:cs="宋体"/>
                <w:kern w:val="0"/>
                <w:szCs w:val="21"/>
              </w:rPr>
            </w:pPr>
          </w:p>
        </w:tc>
        <w:tc>
          <w:tcPr>
            <w:tcW w:w="2149" w:type="dxa"/>
            <w:gridSpan w:val="2"/>
            <w:tcBorders>
              <w:top w:val="single" w:color="auto" w:sz="4" w:space="0"/>
              <w:bottom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省级定点救治医院（万元）</w:t>
            </w:r>
          </w:p>
        </w:tc>
        <w:tc>
          <w:tcPr>
            <w:tcW w:w="2149" w:type="dxa"/>
            <w:gridSpan w:val="2"/>
            <w:tcBorders>
              <w:top w:val="single" w:color="auto" w:sz="4" w:space="0"/>
              <w:bottom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三级医院</w:t>
            </w:r>
          </w:p>
          <w:p>
            <w:pPr>
              <w:widowControl/>
              <w:spacing w:line="410" w:lineRule="exact"/>
              <w:jc w:val="center"/>
              <w:rPr>
                <w:rFonts w:ascii="宋体" w:hAnsi="宋体" w:cs="宋体"/>
                <w:b/>
                <w:bCs/>
                <w:kern w:val="0"/>
                <w:szCs w:val="21"/>
              </w:rPr>
            </w:pPr>
            <w:r>
              <w:rPr>
                <w:rFonts w:hint="eastAsia" w:ascii="宋体" w:hAnsi="宋体" w:cs="宋体"/>
                <w:b/>
                <w:bCs/>
                <w:kern w:val="0"/>
                <w:szCs w:val="21"/>
              </w:rPr>
              <w:t>（万元）</w:t>
            </w:r>
          </w:p>
        </w:tc>
        <w:tc>
          <w:tcPr>
            <w:tcW w:w="2149" w:type="dxa"/>
            <w:gridSpan w:val="2"/>
            <w:tcBorders>
              <w:top w:val="single" w:color="auto" w:sz="4" w:space="0"/>
              <w:bottom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二级医院（万元）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037" w:type="dxa"/>
            <w:tcBorders>
              <w:top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手术</w:t>
            </w:r>
          </w:p>
          <w:p>
            <w:pPr>
              <w:widowControl/>
              <w:spacing w:line="410" w:lineRule="exact"/>
              <w:jc w:val="center"/>
              <w:rPr>
                <w:rFonts w:ascii="宋体" w:hAnsi="宋体" w:cs="宋体"/>
                <w:b/>
                <w:bCs/>
                <w:kern w:val="0"/>
                <w:szCs w:val="21"/>
              </w:rPr>
            </w:pPr>
            <w:r>
              <w:rPr>
                <w:rFonts w:hint="eastAsia" w:ascii="宋体" w:hAnsi="宋体" w:cs="宋体"/>
                <w:b/>
                <w:bCs/>
                <w:kern w:val="0"/>
                <w:szCs w:val="21"/>
              </w:rPr>
              <w:t>方式</w:t>
            </w:r>
          </w:p>
        </w:tc>
        <w:tc>
          <w:tcPr>
            <w:tcW w:w="1074" w:type="dxa"/>
            <w:tcBorders>
              <w:top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075" w:type="dxa"/>
            <w:tcBorders>
              <w:top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新农合</w:t>
            </w:r>
          </w:p>
          <w:p>
            <w:pPr>
              <w:widowControl/>
              <w:spacing w:line="410" w:lineRule="exact"/>
              <w:jc w:val="center"/>
              <w:rPr>
                <w:rFonts w:ascii="宋体" w:hAnsi="宋体" w:cs="宋体"/>
                <w:b/>
                <w:bCs/>
                <w:kern w:val="0"/>
                <w:szCs w:val="21"/>
              </w:rPr>
            </w:pPr>
            <w:r>
              <w:rPr>
                <w:rFonts w:hint="eastAsia" w:ascii="宋体" w:hAnsi="宋体" w:cs="宋体"/>
                <w:b/>
                <w:bCs/>
                <w:kern w:val="0"/>
                <w:szCs w:val="21"/>
              </w:rPr>
              <w:t>支付</w:t>
            </w:r>
          </w:p>
        </w:tc>
        <w:tc>
          <w:tcPr>
            <w:tcW w:w="1074" w:type="dxa"/>
            <w:tcBorders>
              <w:top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075" w:type="dxa"/>
            <w:tcBorders>
              <w:top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新农合</w:t>
            </w:r>
          </w:p>
          <w:p>
            <w:pPr>
              <w:widowControl/>
              <w:spacing w:line="410" w:lineRule="exact"/>
              <w:jc w:val="center"/>
              <w:rPr>
                <w:rFonts w:ascii="宋体" w:hAnsi="宋体" w:cs="宋体"/>
                <w:b/>
                <w:bCs/>
                <w:kern w:val="0"/>
                <w:szCs w:val="21"/>
              </w:rPr>
            </w:pPr>
            <w:r>
              <w:rPr>
                <w:rFonts w:hint="eastAsia" w:ascii="宋体" w:hAnsi="宋体" w:cs="宋体"/>
                <w:b/>
                <w:bCs/>
                <w:kern w:val="0"/>
                <w:szCs w:val="21"/>
              </w:rPr>
              <w:t>支付</w:t>
            </w:r>
          </w:p>
        </w:tc>
        <w:tc>
          <w:tcPr>
            <w:tcW w:w="1074" w:type="dxa"/>
            <w:tcBorders>
              <w:top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075" w:type="dxa"/>
            <w:tcBorders>
              <w:top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新农合</w:t>
            </w:r>
          </w:p>
          <w:p>
            <w:pPr>
              <w:widowControl/>
              <w:spacing w:line="410" w:lineRule="exact"/>
              <w:jc w:val="center"/>
              <w:rPr>
                <w:rFonts w:ascii="宋体" w:hAnsi="宋体" w:cs="宋体"/>
                <w:b/>
                <w:bCs/>
                <w:kern w:val="0"/>
                <w:szCs w:val="21"/>
              </w:rPr>
            </w:pPr>
            <w:r>
              <w:rPr>
                <w:rFonts w:hint="eastAsia" w:ascii="宋体" w:hAnsi="宋体" w:cs="宋体"/>
                <w:b/>
                <w:bCs/>
                <w:kern w:val="0"/>
                <w:szCs w:val="21"/>
              </w:rPr>
              <w:t>支付</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037" w:type="dxa"/>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改良根治术</w:t>
            </w:r>
          </w:p>
        </w:tc>
        <w:tc>
          <w:tcPr>
            <w:tcW w:w="1074" w:type="dxa"/>
            <w:vAlign w:val="center"/>
          </w:tcPr>
          <w:p>
            <w:pPr>
              <w:widowControl/>
              <w:spacing w:line="410" w:lineRule="exact"/>
              <w:jc w:val="center"/>
              <w:rPr>
                <w:rFonts w:ascii="宋体" w:hAnsi="宋体"/>
                <w:bCs/>
                <w:kern w:val="0"/>
                <w:szCs w:val="21"/>
              </w:rPr>
            </w:pPr>
            <w:r>
              <w:rPr>
                <w:rFonts w:ascii="宋体" w:hAnsi="宋体"/>
                <w:bCs/>
                <w:kern w:val="0"/>
                <w:szCs w:val="21"/>
              </w:rPr>
              <w:t>2.</w:t>
            </w:r>
            <w:r>
              <w:rPr>
                <w:rFonts w:hint="eastAsia" w:ascii="宋体" w:hAnsi="宋体"/>
                <w:bCs/>
                <w:kern w:val="0"/>
                <w:szCs w:val="21"/>
              </w:rPr>
              <w:t>3</w:t>
            </w:r>
          </w:p>
        </w:tc>
        <w:tc>
          <w:tcPr>
            <w:tcW w:w="1075" w:type="dxa"/>
            <w:vAlign w:val="center"/>
          </w:tcPr>
          <w:p>
            <w:pPr>
              <w:widowControl/>
              <w:spacing w:line="410" w:lineRule="exact"/>
              <w:jc w:val="center"/>
              <w:rPr>
                <w:rFonts w:ascii="宋体" w:hAnsi="宋体"/>
                <w:bCs/>
                <w:kern w:val="0"/>
                <w:szCs w:val="21"/>
              </w:rPr>
            </w:pPr>
            <w:r>
              <w:rPr>
                <w:rFonts w:ascii="宋体" w:hAnsi="宋体"/>
                <w:bCs/>
                <w:kern w:val="0"/>
                <w:szCs w:val="21"/>
              </w:rPr>
              <w:t>1.</w:t>
            </w:r>
            <w:r>
              <w:rPr>
                <w:rFonts w:hint="eastAsia" w:ascii="宋体" w:hAnsi="宋体"/>
                <w:bCs/>
                <w:kern w:val="0"/>
                <w:szCs w:val="21"/>
              </w:rPr>
              <w:t>61</w:t>
            </w:r>
          </w:p>
        </w:tc>
        <w:tc>
          <w:tcPr>
            <w:tcW w:w="1074" w:type="dxa"/>
            <w:vAlign w:val="center"/>
          </w:tcPr>
          <w:p>
            <w:pPr>
              <w:widowControl/>
              <w:spacing w:line="410" w:lineRule="exact"/>
              <w:jc w:val="center"/>
              <w:rPr>
                <w:rFonts w:ascii="宋体" w:hAnsi="宋体"/>
                <w:kern w:val="0"/>
                <w:szCs w:val="21"/>
              </w:rPr>
            </w:pPr>
            <w:r>
              <w:rPr>
                <w:rFonts w:hint="eastAsia" w:ascii="宋体" w:hAnsi="宋体"/>
                <w:kern w:val="0"/>
                <w:szCs w:val="21"/>
              </w:rPr>
              <w:t>2.19</w:t>
            </w:r>
          </w:p>
        </w:tc>
        <w:tc>
          <w:tcPr>
            <w:tcW w:w="1075" w:type="dxa"/>
            <w:vAlign w:val="center"/>
          </w:tcPr>
          <w:p>
            <w:pPr>
              <w:widowControl/>
              <w:spacing w:line="410" w:lineRule="exact"/>
              <w:jc w:val="center"/>
              <w:rPr>
                <w:rFonts w:ascii="宋体" w:hAnsi="宋体"/>
                <w:kern w:val="0"/>
                <w:szCs w:val="21"/>
              </w:rPr>
            </w:pPr>
            <w:r>
              <w:rPr>
                <w:rFonts w:hint="eastAsia" w:ascii="宋体" w:hAnsi="宋体"/>
                <w:kern w:val="0"/>
                <w:szCs w:val="21"/>
              </w:rPr>
              <w:t>1.53</w:t>
            </w:r>
          </w:p>
        </w:tc>
        <w:tc>
          <w:tcPr>
            <w:tcW w:w="1074" w:type="dxa"/>
            <w:vAlign w:val="center"/>
          </w:tcPr>
          <w:p>
            <w:pPr>
              <w:widowControl/>
              <w:spacing w:line="410" w:lineRule="exact"/>
              <w:jc w:val="center"/>
              <w:rPr>
                <w:rFonts w:ascii="宋体" w:hAnsi="宋体"/>
                <w:kern w:val="0"/>
                <w:szCs w:val="21"/>
              </w:rPr>
            </w:pPr>
            <w:r>
              <w:rPr>
                <w:rFonts w:ascii="宋体" w:hAnsi="宋体"/>
                <w:kern w:val="0"/>
                <w:szCs w:val="21"/>
              </w:rPr>
              <w:t>2.0</w:t>
            </w:r>
          </w:p>
        </w:tc>
        <w:tc>
          <w:tcPr>
            <w:tcW w:w="1075" w:type="dxa"/>
            <w:vAlign w:val="center"/>
          </w:tcPr>
          <w:p>
            <w:pPr>
              <w:widowControl/>
              <w:spacing w:line="410" w:lineRule="exact"/>
              <w:jc w:val="center"/>
              <w:rPr>
                <w:rFonts w:ascii="宋体" w:hAnsi="宋体"/>
                <w:kern w:val="0"/>
                <w:szCs w:val="21"/>
              </w:rPr>
            </w:pPr>
            <w:r>
              <w:rPr>
                <w:rFonts w:ascii="宋体" w:hAnsi="宋体"/>
                <w:kern w:val="0"/>
                <w:szCs w:val="21"/>
              </w:rPr>
              <w:t>1.50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037" w:type="dxa"/>
            <w:tcBorders>
              <w:bottom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保乳术</w:t>
            </w:r>
          </w:p>
        </w:tc>
        <w:tc>
          <w:tcPr>
            <w:tcW w:w="1074" w:type="dxa"/>
            <w:tcBorders>
              <w:bottom w:val="single" w:color="auto" w:sz="4" w:space="0"/>
            </w:tcBorders>
            <w:vAlign w:val="center"/>
          </w:tcPr>
          <w:p>
            <w:pPr>
              <w:widowControl/>
              <w:spacing w:line="410" w:lineRule="exact"/>
              <w:jc w:val="center"/>
              <w:rPr>
                <w:rFonts w:ascii="宋体" w:hAnsi="宋体"/>
                <w:bCs/>
                <w:kern w:val="0"/>
                <w:szCs w:val="21"/>
              </w:rPr>
            </w:pPr>
            <w:r>
              <w:rPr>
                <w:rFonts w:ascii="宋体" w:hAnsi="宋体"/>
                <w:bCs/>
                <w:kern w:val="0"/>
                <w:szCs w:val="21"/>
              </w:rPr>
              <w:t>2.</w:t>
            </w:r>
            <w:r>
              <w:rPr>
                <w:rFonts w:hint="eastAsia" w:ascii="宋体" w:hAnsi="宋体"/>
                <w:bCs/>
                <w:kern w:val="0"/>
                <w:szCs w:val="21"/>
              </w:rPr>
              <w:t>1</w:t>
            </w:r>
          </w:p>
        </w:tc>
        <w:tc>
          <w:tcPr>
            <w:tcW w:w="1075" w:type="dxa"/>
            <w:tcBorders>
              <w:bottom w:val="single" w:color="auto" w:sz="4" w:space="0"/>
            </w:tcBorders>
            <w:vAlign w:val="center"/>
          </w:tcPr>
          <w:p>
            <w:pPr>
              <w:widowControl/>
              <w:spacing w:line="410" w:lineRule="exact"/>
              <w:jc w:val="center"/>
              <w:rPr>
                <w:rFonts w:ascii="宋体" w:hAnsi="宋体"/>
                <w:bCs/>
                <w:kern w:val="0"/>
                <w:szCs w:val="21"/>
              </w:rPr>
            </w:pPr>
            <w:r>
              <w:rPr>
                <w:rFonts w:ascii="宋体" w:hAnsi="宋体"/>
                <w:bCs/>
                <w:kern w:val="0"/>
                <w:szCs w:val="21"/>
              </w:rPr>
              <w:t>1.</w:t>
            </w:r>
            <w:r>
              <w:rPr>
                <w:rFonts w:hint="eastAsia" w:ascii="宋体" w:hAnsi="宋体"/>
                <w:bCs/>
                <w:kern w:val="0"/>
                <w:szCs w:val="21"/>
              </w:rPr>
              <w:t>47</w:t>
            </w:r>
          </w:p>
        </w:tc>
        <w:tc>
          <w:tcPr>
            <w:tcW w:w="1074" w:type="dxa"/>
            <w:tcBorders>
              <w:bottom w:val="single" w:color="auto" w:sz="4" w:space="0"/>
            </w:tcBorders>
            <w:vAlign w:val="center"/>
          </w:tcPr>
          <w:p>
            <w:pPr>
              <w:widowControl/>
              <w:spacing w:line="410" w:lineRule="exact"/>
              <w:jc w:val="center"/>
              <w:rPr>
                <w:rFonts w:ascii="宋体" w:hAnsi="宋体"/>
                <w:kern w:val="0"/>
                <w:szCs w:val="21"/>
              </w:rPr>
            </w:pPr>
            <w:r>
              <w:rPr>
                <w:rFonts w:hint="eastAsia" w:ascii="宋体" w:hAnsi="宋体"/>
                <w:kern w:val="0"/>
                <w:szCs w:val="21"/>
              </w:rPr>
              <w:t>2.0</w:t>
            </w:r>
          </w:p>
        </w:tc>
        <w:tc>
          <w:tcPr>
            <w:tcW w:w="1075" w:type="dxa"/>
            <w:tcBorders>
              <w:bottom w:val="single" w:color="auto" w:sz="4" w:space="0"/>
            </w:tcBorders>
            <w:vAlign w:val="center"/>
          </w:tcPr>
          <w:p>
            <w:pPr>
              <w:widowControl/>
              <w:spacing w:line="410" w:lineRule="exact"/>
              <w:jc w:val="center"/>
              <w:rPr>
                <w:rFonts w:ascii="宋体" w:hAnsi="宋体"/>
                <w:kern w:val="0"/>
                <w:szCs w:val="21"/>
              </w:rPr>
            </w:pPr>
            <w:r>
              <w:rPr>
                <w:rFonts w:hint="eastAsia" w:ascii="宋体" w:hAnsi="宋体"/>
                <w:kern w:val="0"/>
                <w:szCs w:val="21"/>
              </w:rPr>
              <w:t>1.40</w:t>
            </w:r>
          </w:p>
        </w:tc>
        <w:tc>
          <w:tcPr>
            <w:tcW w:w="1074" w:type="dxa"/>
            <w:tcBorders>
              <w:bottom w:val="single" w:color="auto" w:sz="4" w:space="0"/>
            </w:tcBorders>
            <w:vAlign w:val="center"/>
          </w:tcPr>
          <w:p>
            <w:pPr>
              <w:widowControl/>
              <w:spacing w:line="410" w:lineRule="exact"/>
              <w:jc w:val="center"/>
              <w:rPr>
                <w:rFonts w:ascii="宋体" w:hAnsi="宋体"/>
                <w:kern w:val="0"/>
                <w:szCs w:val="21"/>
              </w:rPr>
            </w:pPr>
            <w:r>
              <w:rPr>
                <w:rFonts w:ascii="宋体" w:hAnsi="宋体"/>
                <w:kern w:val="0"/>
                <w:szCs w:val="21"/>
              </w:rPr>
              <w:t>1.8</w:t>
            </w:r>
          </w:p>
        </w:tc>
        <w:tc>
          <w:tcPr>
            <w:tcW w:w="1075" w:type="dxa"/>
            <w:tcBorders>
              <w:bottom w:val="single" w:color="auto" w:sz="4" w:space="0"/>
            </w:tcBorders>
            <w:vAlign w:val="center"/>
          </w:tcPr>
          <w:p>
            <w:pPr>
              <w:widowControl/>
              <w:spacing w:line="410" w:lineRule="exact"/>
              <w:jc w:val="center"/>
              <w:rPr>
                <w:rFonts w:ascii="宋体" w:hAnsi="宋体"/>
                <w:kern w:val="0"/>
                <w:szCs w:val="21"/>
              </w:rPr>
            </w:pPr>
            <w:r>
              <w:rPr>
                <w:rFonts w:ascii="宋体" w:hAnsi="宋体"/>
                <w:kern w:val="0"/>
                <w:szCs w:val="21"/>
              </w:rPr>
              <w:t>1.35</w:t>
            </w:r>
          </w:p>
        </w:tc>
      </w:tr>
    </w:tbl>
    <w:p>
      <w:pPr>
        <w:adjustRightInd w:val="0"/>
        <w:snapToGrid w:val="0"/>
        <w:spacing w:line="430" w:lineRule="exact"/>
        <w:ind w:firstLine="480" w:firstLineChars="200"/>
        <w:rPr>
          <w:rFonts w:hint="eastAsia" w:ascii="黑体" w:hAnsi="宋体" w:eastAsia="黑体"/>
          <w:snapToGrid w:val="0"/>
          <w:color w:val="000000"/>
          <w:kern w:val="0"/>
          <w:sz w:val="24"/>
        </w:rPr>
      </w:pPr>
      <w:r>
        <w:rPr>
          <w:rFonts w:hint="eastAsia" w:ascii="黑体" w:hAnsi="宋体" w:eastAsia="黑体"/>
          <w:snapToGrid w:val="0"/>
          <w:color w:val="000000"/>
          <w:kern w:val="0"/>
          <w:sz w:val="24"/>
        </w:rPr>
        <w:t>七、食道癌</w:t>
      </w:r>
    </w:p>
    <w:p>
      <w:pPr>
        <w:adjustRightInd w:val="0"/>
        <w:snapToGrid w:val="0"/>
        <w:spacing w:line="430" w:lineRule="exact"/>
        <w:ind w:firstLine="480" w:firstLineChars="200"/>
        <w:outlineLvl w:val="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以食管癌为第一诊断，行食管癌切除消化道重建术的患者，在定点医疗机构实施手术治疗发生的费用，纳入新农合重大疾病按病种付费范围。</w:t>
      </w:r>
    </w:p>
    <w:p>
      <w:pPr>
        <w:adjustRightInd w:val="0"/>
        <w:snapToGrid w:val="0"/>
        <w:spacing w:line="430" w:lineRule="exact"/>
        <w:ind w:firstLine="480" w:firstLineChars="200"/>
        <w:outlineLvl w:val="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治疗过程需严格按照《</w:t>
      </w:r>
      <w:r>
        <w:rPr>
          <w:rFonts w:ascii="宋体" w:hAnsi="宋体"/>
          <w:snapToGrid w:val="0"/>
          <w:color w:val="000000"/>
          <w:kern w:val="0"/>
          <w:sz w:val="24"/>
        </w:rPr>
        <w:t>食管癌</w:t>
      </w:r>
      <w:r>
        <w:rPr>
          <w:rFonts w:hint="eastAsia" w:ascii="宋体" w:hAnsi="宋体"/>
          <w:snapToGrid w:val="0"/>
          <w:color w:val="000000"/>
          <w:kern w:val="0"/>
          <w:sz w:val="24"/>
        </w:rPr>
        <w:t>手术治疗</w:t>
      </w:r>
      <w:r>
        <w:rPr>
          <w:rFonts w:ascii="宋体" w:hAnsi="宋体"/>
          <w:snapToGrid w:val="0"/>
          <w:color w:val="000000"/>
          <w:kern w:val="0"/>
          <w:sz w:val="24"/>
        </w:rPr>
        <w:t>临床路径(20</w:t>
      </w:r>
      <w:r>
        <w:rPr>
          <w:rFonts w:hint="eastAsia" w:ascii="宋体" w:hAnsi="宋体"/>
          <w:snapToGrid w:val="0"/>
          <w:color w:val="000000"/>
          <w:kern w:val="0"/>
          <w:sz w:val="24"/>
        </w:rPr>
        <w:t>12</w:t>
      </w:r>
      <w:r>
        <w:rPr>
          <w:rFonts w:ascii="宋体" w:hAnsi="宋体"/>
          <w:snapToGrid w:val="0"/>
          <w:color w:val="000000"/>
          <w:kern w:val="0"/>
          <w:sz w:val="24"/>
        </w:rPr>
        <w:t>年版)</w:t>
      </w:r>
      <w:r>
        <w:rPr>
          <w:rFonts w:hint="eastAsia" w:ascii="宋体" w:hAnsi="宋体"/>
          <w:snapToGrid w:val="0"/>
          <w:color w:val="000000"/>
          <w:kern w:val="0"/>
          <w:sz w:val="24"/>
        </w:rPr>
        <w:t>》执行，方可实行按病种付费。</w:t>
      </w:r>
    </w:p>
    <w:p>
      <w:pPr>
        <w:adjustRightInd w:val="0"/>
        <w:snapToGrid w:val="0"/>
        <w:spacing w:line="430" w:lineRule="exact"/>
        <w:ind w:firstLine="480" w:firstLineChars="200"/>
        <w:outlineLvl w:val="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（三）支付标准。</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 xml:space="preserve">支付的费用包括患者每次住院期间发生的费用（含术后1个周期的化疗）。医院应按照定额支付标准收取费用，其中三级医院相应标准的70%，二级医院相应标准的75%由新农合基金支付。 </w:t>
      </w:r>
    </w:p>
    <w:p>
      <w:pPr>
        <w:adjustRightInd w:val="0"/>
        <w:snapToGrid w:val="0"/>
        <w:spacing w:line="430" w:lineRule="exact"/>
        <w:ind w:firstLine="480" w:firstLineChars="200"/>
        <w:rPr>
          <w:rFonts w:hint="eastAsia" w:ascii="宋体" w:hAnsi="宋体"/>
          <w:snapToGrid w:val="0"/>
          <w:color w:val="000000"/>
          <w:kern w:val="0"/>
          <w:sz w:val="24"/>
        </w:rPr>
      </w:pPr>
    </w:p>
    <w:p>
      <w:pPr>
        <w:adjustRightInd w:val="0"/>
        <w:snapToGrid w:val="0"/>
        <w:spacing w:line="430" w:lineRule="exact"/>
        <w:ind w:firstLine="480" w:firstLineChars="200"/>
        <w:rPr>
          <w:rFonts w:ascii="宋体" w:hAnsi="宋体"/>
          <w:sz w:val="24"/>
        </w:rPr>
      </w:pPr>
    </w:p>
    <w:p>
      <w:pPr>
        <w:pStyle w:val="5"/>
        <w:spacing w:line="430" w:lineRule="exact"/>
        <w:ind w:firstLine="0" w:firstLineChars="0"/>
        <w:jc w:val="center"/>
        <w:rPr>
          <w:rFonts w:hint="eastAsia" w:ascii="宋体" w:hAnsi="宋体"/>
          <w:szCs w:val="21"/>
        </w:rPr>
      </w:pPr>
      <w:r>
        <w:rPr>
          <w:rFonts w:hint="eastAsia" w:ascii="宋体" w:hAnsi="宋体"/>
          <w:sz w:val="24"/>
        </w:rPr>
        <w:t>表7  食道癌住院治疗费用的定额支付标准</w:t>
      </w:r>
    </w:p>
    <w:tbl>
      <w:tblPr>
        <w:tblStyle w:val="4"/>
        <w:tblW w:w="7484" w:type="dxa"/>
        <w:jc w:val="center"/>
        <w:tblInd w:w="0" w:type="dxa"/>
        <w:tblLayout w:type="fixed"/>
        <w:tblCellMar>
          <w:top w:w="0" w:type="dxa"/>
          <w:left w:w="28" w:type="dxa"/>
          <w:bottom w:w="0" w:type="dxa"/>
          <w:right w:w="28" w:type="dxa"/>
        </w:tblCellMar>
      </w:tblPr>
      <w:tblGrid>
        <w:gridCol w:w="1336"/>
        <w:gridCol w:w="1336"/>
        <w:gridCol w:w="1203"/>
        <w:gridCol w:w="1203"/>
        <w:gridCol w:w="1203"/>
        <w:gridCol w:w="1203"/>
      </w:tblGrid>
      <w:tr>
        <w:tblPrEx>
          <w:tblLayout w:type="fixed"/>
          <w:tblCellMar>
            <w:top w:w="0" w:type="dxa"/>
            <w:left w:w="28" w:type="dxa"/>
            <w:bottom w:w="0" w:type="dxa"/>
            <w:right w:w="28" w:type="dxa"/>
          </w:tblCellMar>
        </w:tblPrEx>
        <w:trPr>
          <w:trHeight w:val="450" w:hRule="atLeast"/>
          <w:jc w:val="center"/>
        </w:trPr>
        <w:tc>
          <w:tcPr>
            <w:tcW w:w="2672" w:type="dxa"/>
            <w:gridSpan w:val="2"/>
            <w:tcBorders>
              <w:top w:val="single" w:color="auto" w:sz="4" w:space="0"/>
              <w:left w:val="nil"/>
              <w:bottom w:val="single" w:color="auto" w:sz="4" w:space="0"/>
              <w:right w:val="nil"/>
            </w:tcBorders>
            <w:vAlign w:val="center"/>
          </w:tcPr>
          <w:p>
            <w:pPr>
              <w:widowControl/>
              <w:spacing w:line="410" w:lineRule="exact"/>
              <w:rPr>
                <w:rFonts w:ascii="宋体" w:hAnsi="宋体" w:cs="宋体"/>
                <w:b/>
                <w:bCs/>
                <w:kern w:val="0"/>
                <w:szCs w:val="21"/>
              </w:rPr>
            </w:pPr>
            <w:r>
              <w:rPr>
                <w:rFonts w:hint="eastAsia" w:ascii="宋体" w:hAnsi="宋体" w:cs="宋体"/>
                <w:b/>
                <w:bCs/>
                <w:kern w:val="0"/>
                <w:szCs w:val="21"/>
              </w:rPr>
              <w:t>省级定点救治医院（万元）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三级医院（万元）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 xml:space="preserve"> 二级医院（万元）</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3.5</w:t>
            </w:r>
          </w:p>
        </w:tc>
        <w:tc>
          <w:tcPr>
            <w:tcW w:w="1336"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2.45</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3.36</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2.35</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2.8</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体"/>
                <w:bCs/>
                <w:kern w:val="0"/>
                <w:szCs w:val="21"/>
              </w:rPr>
              <w:t>2.1</w:t>
            </w:r>
          </w:p>
        </w:tc>
      </w:tr>
    </w:tbl>
    <w:p>
      <w:pPr>
        <w:adjustRightInd w:val="0"/>
        <w:snapToGrid w:val="0"/>
        <w:spacing w:line="430" w:lineRule="exact"/>
        <w:ind w:firstLine="480" w:firstLineChars="200"/>
        <w:rPr>
          <w:rFonts w:hint="eastAsia" w:ascii="黑体" w:hAnsi="宋体" w:eastAsia="黑体"/>
          <w:snapToGrid w:val="0"/>
          <w:color w:val="000000"/>
          <w:kern w:val="0"/>
          <w:sz w:val="24"/>
        </w:rPr>
      </w:pPr>
      <w:r>
        <w:rPr>
          <w:rFonts w:hint="eastAsia" w:ascii="黑体" w:hAnsi="宋体" w:eastAsia="黑体"/>
          <w:snapToGrid w:val="0"/>
          <w:color w:val="000000"/>
          <w:kern w:val="0"/>
          <w:sz w:val="24"/>
        </w:rPr>
        <w:t>八、结肠癌</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1.以结肠癌（ICD-10：C18）为第一诊断，行结肠癌根治切除手术（ICD-9-CM-3:45.73-45.79,45.8）的患者。</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2.可R0切除的结肠癌（Ⅰ期、Ⅱ期和部分III期）。</w:t>
      </w:r>
    </w:p>
    <w:p>
      <w:pPr>
        <w:pStyle w:val="5"/>
        <w:adjustRightInd w:val="0"/>
        <w:snapToGrid w:val="0"/>
        <w:spacing w:line="430" w:lineRule="exact"/>
        <w:ind w:firstLine="480"/>
        <w:rPr>
          <w:rFonts w:hint="eastAsia" w:ascii="宋体" w:hAnsi="宋体"/>
          <w:snapToGrid w:val="0"/>
          <w:color w:val="000000"/>
          <w:kern w:val="0"/>
          <w:sz w:val="24"/>
        </w:rPr>
      </w:pPr>
      <w:r>
        <w:rPr>
          <w:rFonts w:hint="eastAsia" w:ascii="宋体" w:hAnsi="宋体"/>
          <w:snapToGrid w:val="0"/>
          <w:color w:val="000000"/>
          <w:kern w:val="0"/>
          <w:sz w:val="24"/>
        </w:rPr>
        <w:t>3.对诊断为多原发并多部位的结肠癌（ICD-10：C18），结肠息肉病（如FAP、HNPCC）和炎性肠病合并癌变的患者，直肠无病变者，可考虑行全结肠切除术。</w:t>
      </w:r>
    </w:p>
    <w:p>
      <w:pPr>
        <w:pStyle w:val="5"/>
        <w:adjustRightInd w:val="0"/>
        <w:snapToGrid w:val="0"/>
        <w:spacing w:line="430" w:lineRule="exact"/>
        <w:ind w:firstLine="480"/>
        <w:rPr>
          <w:rFonts w:ascii="宋体" w:hAnsi="宋体"/>
          <w:snapToGrid w:val="0"/>
          <w:color w:val="000000"/>
          <w:kern w:val="0"/>
          <w:sz w:val="24"/>
        </w:rPr>
      </w:pPr>
      <w:r>
        <w:rPr>
          <w:rFonts w:hint="eastAsia" w:ascii="宋体" w:hAnsi="宋体"/>
          <w:snapToGrid w:val="0"/>
          <w:color w:val="000000"/>
          <w:kern w:val="0"/>
          <w:sz w:val="24"/>
        </w:rPr>
        <w:t>在定点医疗机构行结肠癌开腹根治术、局部切除（或结肠曲段切除）、姑息切除术</w:t>
      </w:r>
      <w:r>
        <w:rPr>
          <w:rFonts w:ascii="宋体" w:hAnsi="宋体"/>
          <w:snapToGrid w:val="0"/>
          <w:color w:val="000000"/>
          <w:kern w:val="0"/>
          <w:sz w:val="24"/>
        </w:rPr>
        <w:t>+</w:t>
      </w:r>
      <w:r>
        <w:rPr>
          <w:rFonts w:hint="eastAsia" w:ascii="宋体" w:hAnsi="宋体"/>
          <w:snapToGrid w:val="0"/>
          <w:color w:val="000000"/>
          <w:kern w:val="0"/>
          <w:sz w:val="24"/>
        </w:rPr>
        <w:t>短路（或造口术），发生的费用纳入新农合重大疾病按病种付费范围。</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治疗过程需严格按照《结肠癌根治切除手术临床路径（2012年版）》执行，方可实行按病种付费。</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（三）支付标准。</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 xml:space="preserve">支付的费用包括患者每次住院期间发生的费用（含术后1个周期的化疗）。医院应按照定额支付标准收取费用，其中三级医院相应标准的70%，二级医院相应标准的75%由新农合基金支付。 </w:t>
      </w:r>
    </w:p>
    <w:p>
      <w:pPr>
        <w:adjustRightInd w:val="0"/>
        <w:snapToGrid w:val="0"/>
        <w:spacing w:line="430" w:lineRule="exact"/>
        <w:ind w:firstLine="480" w:firstLineChars="200"/>
        <w:rPr>
          <w:rFonts w:hint="eastAsia" w:ascii="宋体" w:hAnsi="宋体"/>
          <w:snapToGrid w:val="0"/>
          <w:color w:val="000000"/>
          <w:kern w:val="0"/>
          <w:sz w:val="24"/>
        </w:rPr>
      </w:pPr>
    </w:p>
    <w:p>
      <w:pPr>
        <w:adjustRightInd w:val="0"/>
        <w:snapToGrid w:val="0"/>
        <w:spacing w:line="430" w:lineRule="exact"/>
        <w:ind w:firstLine="480" w:firstLineChars="200"/>
        <w:rPr>
          <w:rFonts w:hint="eastAsia" w:ascii="宋体" w:hAnsi="宋体"/>
          <w:snapToGrid w:val="0"/>
          <w:color w:val="000000"/>
          <w:kern w:val="0"/>
          <w:sz w:val="24"/>
        </w:rPr>
      </w:pPr>
    </w:p>
    <w:p>
      <w:pPr>
        <w:pStyle w:val="5"/>
        <w:spacing w:line="430" w:lineRule="exact"/>
        <w:ind w:firstLine="0" w:firstLineChars="0"/>
        <w:jc w:val="center"/>
        <w:rPr>
          <w:rFonts w:hint="eastAsia" w:ascii="宋体" w:hAnsi="宋体"/>
          <w:sz w:val="24"/>
        </w:rPr>
      </w:pPr>
      <w:r>
        <w:rPr>
          <w:rFonts w:hint="eastAsia" w:ascii="宋体" w:hAnsi="宋体"/>
          <w:sz w:val="24"/>
        </w:rPr>
        <w:t>表8   结肠癌住院治疗费用的定额支付标准</w:t>
      </w:r>
    </w:p>
    <w:tbl>
      <w:tblPr>
        <w:tblStyle w:val="4"/>
        <w:tblW w:w="7484" w:type="dxa"/>
        <w:jc w:val="center"/>
        <w:tblInd w:w="0" w:type="dxa"/>
        <w:tblLayout w:type="fixed"/>
        <w:tblCellMar>
          <w:top w:w="0" w:type="dxa"/>
          <w:left w:w="28" w:type="dxa"/>
          <w:bottom w:w="0" w:type="dxa"/>
          <w:right w:w="28" w:type="dxa"/>
        </w:tblCellMar>
      </w:tblPr>
      <w:tblGrid>
        <w:gridCol w:w="1336"/>
        <w:gridCol w:w="1336"/>
        <w:gridCol w:w="1203"/>
        <w:gridCol w:w="1203"/>
        <w:gridCol w:w="1203"/>
        <w:gridCol w:w="1203"/>
      </w:tblGrid>
      <w:tr>
        <w:tblPrEx>
          <w:tblLayout w:type="fixed"/>
          <w:tblCellMar>
            <w:top w:w="0" w:type="dxa"/>
            <w:left w:w="28" w:type="dxa"/>
            <w:bottom w:w="0" w:type="dxa"/>
            <w:right w:w="28" w:type="dxa"/>
          </w:tblCellMar>
        </w:tblPrEx>
        <w:trPr>
          <w:trHeight w:val="450" w:hRule="atLeast"/>
          <w:jc w:val="center"/>
        </w:trPr>
        <w:tc>
          <w:tcPr>
            <w:tcW w:w="2672" w:type="dxa"/>
            <w:gridSpan w:val="2"/>
            <w:tcBorders>
              <w:top w:val="single" w:color="auto" w:sz="4" w:space="0"/>
              <w:left w:val="nil"/>
              <w:bottom w:val="single" w:color="auto" w:sz="4" w:space="0"/>
              <w:right w:val="nil"/>
            </w:tcBorders>
            <w:vAlign w:val="center"/>
          </w:tcPr>
          <w:p>
            <w:pPr>
              <w:widowControl/>
              <w:spacing w:line="410" w:lineRule="exact"/>
              <w:rPr>
                <w:rFonts w:ascii="宋体" w:hAnsi="宋体" w:cs="宋体"/>
                <w:b/>
                <w:bCs/>
                <w:kern w:val="0"/>
                <w:szCs w:val="21"/>
              </w:rPr>
            </w:pPr>
            <w:r>
              <w:rPr>
                <w:rFonts w:hint="eastAsia" w:ascii="宋体" w:hAnsi="宋体" w:cs="宋体"/>
                <w:b/>
                <w:bCs/>
                <w:kern w:val="0"/>
                <w:szCs w:val="21"/>
              </w:rPr>
              <w:t>省级定点救治医院（万元）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三级医院（万元）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 xml:space="preserve"> 二级医院（万元）</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single" w:color="auto" w:sz="4" w:space="0"/>
              <w:right w:val="nil"/>
            </w:tcBorders>
            <w:vAlign w:val="center"/>
          </w:tcPr>
          <w:p>
            <w:pPr>
              <w:widowControl/>
              <w:spacing w:line="410" w:lineRule="exact"/>
              <w:jc w:val="center"/>
              <w:rPr>
                <w:rFonts w:ascii="宋体" w:hAnsi="宋体"/>
                <w:kern w:val="0"/>
                <w:szCs w:val="21"/>
              </w:rPr>
            </w:pPr>
            <w:r>
              <w:rPr>
                <w:rFonts w:ascii="宋体" w:hAnsi="宋体"/>
                <w:kern w:val="0"/>
                <w:szCs w:val="21"/>
              </w:rPr>
              <w:t>3.4</w:t>
            </w:r>
          </w:p>
        </w:tc>
        <w:tc>
          <w:tcPr>
            <w:tcW w:w="1336" w:type="dxa"/>
            <w:tcBorders>
              <w:top w:val="nil"/>
              <w:left w:val="nil"/>
              <w:bottom w:val="single" w:color="auto" w:sz="4" w:space="0"/>
              <w:right w:val="nil"/>
            </w:tcBorders>
            <w:vAlign w:val="center"/>
          </w:tcPr>
          <w:p>
            <w:pPr>
              <w:widowControl/>
              <w:spacing w:line="410" w:lineRule="exact"/>
              <w:jc w:val="center"/>
              <w:rPr>
                <w:rFonts w:ascii="宋体" w:hAnsi="宋体"/>
                <w:kern w:val="0"/>
                <w:szCs w:val="21"/>
              </w:rPr>
            </w:pPr>
            <w:r>
              <w:rPr>
                <w:rFonts w:ascii="宋体" w:hAnsi="宋体"/>
                <w:kern w:val="0"/>
                <w:szCs w:val="21"/>
              </w:rPr>
              <w:t>2.</w:t>
            </w:r>
            <w:r>
              <w:rPr>
                <w:rFonts w:hint="eastAsia" w:ascii="宋体" w:hAnsi="宋体"/>
                <w:kern w:val="0"/>
                <w:szCs w:val="21"/>
              </w:rPr>
              <w:t>38</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kern w:val="0"/>
                <w:szCs w:val="21"/>
              </w:rPr>
            </w:pPr>
            <w:r>
              <w:rPr>
                <w:rFonts w:ascii="宋体" w:hAnsi="宋体"/>
                <w:kern w:val="0"/>
                <w:szCs w:val="21"/>
              </w:rPr>
              <w:t>3.2</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kern w:val="0"/>
                <w:szCs w:val="21"/>
              </w:rPr>
            </w:pPr>
            <w:r>
              <w:rPr>
                <w:rFonts w:ascii="宋体" w:hAnsi="宋体"/>
                <w:kern w:val="0"/>
                <w:szCs w:val="21"/>
              </w:rPr>
              <w:t>2.24</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kern w:val="0"/>
                <w:szCs w:val="21"/>
              </w:rPr>
            </w:pPr>
            <w:r>
              <w:rPr>
                <w:rFonts w:ascii="宋体" w:hAnsi="宋体"/>
                <w:kern w:val="0"/>
                <w:szCs w:val="21"/>
              </w:rPr>
              <w:t>2.5</w:t>
            </w:r>
          </w:p>
        </w:tc>
        <w:tc>
          <w:tcPr>
            <w:tcW w:w="1203" w:type="dxa"/>
            <w:tcBorders>
              <w:top w:val="nil"/>
              <w:left w:val="nil"/>
              <w:bottom w:val="single" w:color="auto" w:sz="4" w:space="0"/>
              <w:right w:val="nil"/>
            </w:tcBorders>
            <w:vAlign w:val="center"/>
          </w:tcPr>
          <w:p>
            <w:pPr>
              <w:widowControl/>
              <w:spacing w:line="410" w:lineRule="exact"/>
              <w:jc w:val="center"/>
              <w:rPr>
                <w:rFonts w:ascii="宋体" w:hAnsi="宋体"/>
                <w:kern w:val="0"/>
                <w:szCs w:val="21"/>
              </w:rPr>
            </w:pPr>
            <w:r>
              <w:rPr>
                <w:rFonts w:ascii="宋体" w:hAnsi="宋体"/>
                <w:kern w:val="0"/>
                <w:szCs w:val="21"/>
              </w:rPr>
              <w:t>1.88</w:t>
            </w:r>
          </w:p>
        </w:tc>
      </w:tr>
    </w:tbl>
    <w:p>
      <w:pPr>
        <w:adjustRightInd w:val="0"/>
        <w:snapToGrid w:val="0"/>
        <w:spacing w:line="430" w:lineRule="exact"/>
        <w:ind w:firstLine="480" w:firstLineChars="200"/>
        <w:rPr>
          <w:rFonts w:hint="eastAsia" w:ascii="黑体" w:hAnsi="宋体" w:eastAsia="黑体"/>
          <w:snapToGrid w:val="0"/>
          <w:color w:val="000000"/>
          <w:kern w:val="0"/>
          <w:sz w:val="24"/>
        </w:rPr>
      </w:pPr>
      <w:r>
        <w:rPr>
          <w:rFonts w:hint="eastAsia" w:ascii="黑体" w:hAnsi="宋体" w:eastAsia="黑体"/>
          <w:snapToGrid w:val="0"/>
          <w:color w:val="000000"/>
          <w:kern w:val="0"/>
          <w:sz w:val="24"/>
        </w:rPr>
        <w:t>九、直肠癌</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直肠癌低位前切除手术适用对象：</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1.以直肠癌（ICD-10：C20）为第一诊断，行直肠癌低位前切除手术（ICD-9-CM-3：48.62或48.63）的患者。</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2.可R0切除的高中位直肠癌（Ⅰ期及部分Ⅱ、III期患者）。</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直肠癌腹会阴联合切除手术使用对象：</w:t>
      </w:r>
    </w:p>
    <w:p>
      <w:pPr>
        <w:pStyle w:val="2"/>
        <w:adjustRightInd w:val="0"/>
        <w:snapToGrid w:val="0"/>
        <w:spacing w:line="430" w:lineRule="exact"/>
        <w:ind w:firstLine="480" w:firstLineChars="200"/>
        <w:jc w:val="both"/>
        <w:rPr>
          <w:rFonts w:ascii="宋体" w:hAnsi="宋体"/>
          <w:snapToGrid w:val="0"/>
          <w:color w:val="000000"/>
          <w:sz w:val="24"/>
        </w:rPr>
      </w:pPr>
      <w:r>
        <w:rPr>
          <w:rFonts w:ascii="宋体" w:hAnsi="宋体"/>
          <w:snapToGrid w:val="0"/>
          <w:color w:val="000000"/>
          <w:sz w:val="24"/>
        </w:rPr>
        <w:t>1.</w:t>
      </w:r>
      <w:r>
        <w:rPr>
          <w:rFonts w:hint="eastAsia" w:ascii="宋体" w:hAnsi="宋体"/>
          <w:snapToGrid w:val="0"/>
          <w:color w:val="000000"/>
          <w:sz w:val="24"/>
        </w:rPr>
        <w:t>以直肠癌（</w:t>
      </w:r>
      <w:r>
        <w:rPr>
          <w:rFonts w:ascii="宋体" w:hAnsi="宋体"/>
          <w:snapToGrid w:val="0"/>
          <w:color w:val="000000"/>
          <w:sz w:val="24"/>
        </w:rPr>
        <w:t>ICD</w:t>
      </w:r>
      <w:r>
        <w:rPr>
          <w:rFonts w:hint="eastAsia" w:ascii="宋体" w:hAnsi="宋体"/>
          <w:snapToGrid w:val="0"/>
          <w:color w:val="000000"/>
          <w:sz w:val="24"/>
        </w:rPr>
        <w:t>-</w:t>
      </w:r>
      <w:r>
        <w:rPr>
          <w:rFonts w:ascii="宋体" w:hAnsi="宋体"/>
          <w:snapToGrid w:val="0"/>
          <w:color w:val="000000"/>
          <w:sz w:val="24"/>
        </w:rPr>
        <w:t>10</w:t>
      </w:r>
      <w:r>
        <w:rPr>
          <w:rFonts w:hint="eastAsia" w:ascii="宋体" w:hAnsi="宋体"/>
          <w:snapToGrid w:val="0"/>
          <w:color w:val="000000"/>
          <w:sz w:val="24"/>
        </w:rPr>
        <w:t>：C20）为第一诊断，行直肠癌腹会阴联合切除手术（ICD-9-CM-3:48.49或48.65）的患者。</w:t>
      </w:r>
    </w:p>
    <w:p>
      <w:pPr>
        <w:adjustRightInd w:val="0"/>
        <w:snapToGrid w:val="0"/>
        <w:spacing w:line="430" w:lineRule="exact"/>
        <w:ind w:firstLine="480" w:firstLineChars="200"/>
        <w:rPr>
          <w:rFonts w:ascii="宋体" w:hAnsi="宋体"/>
          <w:snapToGrid w:val="0"/>
          <w:color w:val="000000"/>
          <w:kern w:val="0"/>
          <w:sz w:val="24"/>
        </w:rPr>
      </w:pPr>
      <w:r>
        <w:rPr>
          <w:rFonts w:ascii="宋体" w:hAnsi="宋体"/>
          <w:snapToGrid w:val="0"/>
          <w:color w:val="000000"/>
          <w:kern w:val="0"/>
          <w:sz w:val="24"/>
        </w:rPr>
        <w:t>2.</w:t>
      </w:r>
      <w:r>
        <w:rPr>
          <w:rFonts w:hint="eastAsia" w:ascii="宋体" w:hAnsi="宋体"/>
          <w:snapToGrid w:val="0"/>
          <w:color w:val="000000"/>
          <w:kern w:val="0"/>
          <w:sz w:val="24"/>
        </w:rPr>
        <w:t>可</w:t>
      </w:r>
      <w:r>
        <w:rPr>
          <w:rFonts w:ascii="宋体" w:hAnsi="宋体"/>
          <w:snapToGrid w:val="0"/>
          <w:color w:val="000000"/>
          <w:kern w:val="0"/>
          <w:sz w:val="24"/>
        </w:rPr>
        <w:t>R0</w:t>
      </w:r>
      <w:r>
        <w:rPr>
          <w:rFonts w:hint="eastAsia" w:ascii="宋体" w:hAnsi="宋体"/>
          <w:snapToGrid w:val="0"/>
          <w:color w:val="000000"/>
          <w:kern w:val="0"/>
          <w:sz w:val="24"/>
        </w:rPr>
        <w:t>切除的低位直肠癌（Ⅰ期及部分Ⅱ、</w:t>
      </w:r>
      <w:r>
        <w:rPr>
          <w:rFonts w:ascii="宋体" w:hAnsi="宋体"/>
          <w:snapToGrid w:val="0"/>
          <w:color w:val="000000"/>
          <w:kern w:val="0"/>
          <w:sz w:val="24"/>
        </w:rPr>
        <w:t>III</w:t>
      </w:r>
      <w:r>
        <w:rPr>
          <w:rFonts w:hint="eastAsia" w:ascii="宋体" w:hAnsi="宋体"/>
          <w:snapToGrid w:val="0"/>
          <w:color w:val="000000"/>
          <w:kern w:val="0"/>
          <w:sz w:val="24"/>
        </w:rPr>
        <w:t>期患者）。</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在定点医疗机构实施手术治疗发生的费用纳入新农合重大疾病按病种付费范围。</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治疗过程需严格按照《直肠癌低位前切除手术临床路径（2012年版）》、《直肠癌腹会阴联合切除手术临床路径》执行，方可实行按病种付。</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（三）支付标准。</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 xml:space="preserve">支付的费用包括患者每次住院期间发生的费用（含术后1个周期的化疗）。医院应按照定额支付标准收取费用，其中三级医院相应标准的70%，二级医院相应标准的75%由新农合基金支付。 </w:t>
      </w:r>
    </w:p>
    <w:p>
      <w:pPr>
        <w:spacing w:line="430" w:lineRule="exact"/>
        <w:ind w:firstLine="120" w:firstLineChars="50"/>
        <w:jc w:val="center"/>
        <w:rPr>
          <w:rFonts w:hint="eastAsia" w:ascii="宋体" w:hAnsi="宋体"/>
          <w:sz w:val="24"/>
        </w:rPr>
      </w:pPr>
      <w:r>
        <w:rPr>
          <w:rFonts w:hint="eastAsia" w:ascii="宋体" w:hAnsi="宋体"/>
          <w:sz w:val="24"/>
        </w:rPr>
        <w:t>表9 直肠癌住院治疗费用的定额支付标准</w:t>
      </w:r>
    </w:p>
    <w:tbl>
      <w:tblPr>
        <w:tblStyle w:val="4"/>
        <w:tblW w:w="7484" w:type="dxa"/>
        <w:jc w:val="center"/>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232"/>
        <w:gridCol w:w="1042"/>
        <w:gridCol w:w="1042"/>
        <w:gridCol w:w="1042"/>
        <w:gridCol w:w="1042"/>
        <w:gridCol w:w="1042"/>
        <w:gridCol w:w="104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675" w:hRule="atLeast"/>
          <w:jc w:val="center"/>
        </w:trPr>
        <w:tc>
          <w:tcPr>
            <w:tcW w:w="1232" w:type="dxa"/>
            <w:tcBorders>
              <w:top w:val="single" w:color="auto" w:sz="4" w:space="0"/>
              <w:bottom w:val="single" w:color="auto" w:sz="4" w:space="0"/>
            </w:tcBorders>
            <w:vAlign w:val="center"/>
          </w:tcPr>
          <w:p>
            <w:pPr>
              <w:widowControl/>
              <w:spacing w:line="410" w:lineRule="exact"/>
              <w:jc w:val="left"/>
              <w:rPr>
                <w:rFonts w:ascii="宋体" w:hAnsi="宋体" w:cs="宋体"/>
                <w:kern w:val="0"/>
                <w:szCs w:val="21"/>
              </w:rPr>
            </w:pPr>
            <w:r>
              <w:rPr>
                <w:rFonts w:hint="eastAsia" w:ascii="宋体" w:hAnsi="宋体" w:cs="宋体"/>
                <w:kern w:val="0"/>
                <w:szCs w:val="21"/>
              </w:rPr>
              <w:t>　</w:t>
            </w:r>
          </w:p>
        </w:tc>
        <w:tc>
          <w:tcPr>
            <w:tcW w:w="2084" w:type="dxa"/>
            <w:gridSpan w:val="2"/>
            <w:tcBorders>
              <w:top w:val="single" w:color="auto" w:sz="4" w:space="0"/>
              <w:bottom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省级定点救治医院</w:t>
            </w:r>
          </w:p>
          <w:p>
            <w:pPr>
              <w:widowControl/>
              <w:spacing w:line="410" w:lineRule="exact"/>
              <w:jc w:val="center"/>
              <w:rPr>
                <w:rFonts w:ascii="宋体" w:hAnsi="宋体" w:cs="宋体"/>
                <w:b/>
                <w:bCs/>
                <w:kern w:val="0"/>
                <w:szCs w:val="21"/>
              </w:rPr>
            </w:pPr>
            <w:r>
              <w:rPr>
                <w:rFonts w:hint="eastAsia" w:ascii="宋体" w:hAnsi="宋体" w:cs="宋体"/>
                <w:b/>
                <w:bCs/>
                <w:kern w:val="0"/>
                <w:szCs w:val="21"/>
              </w:rPr>
              <w:t xml:space="preserve">（万元）   </w:t>
            </w:r>
          </w:p>
        </w:tc>
        <w:tc>
          <w:tcPr>
            <w:tcW w:w="2084" w:type="dxa"/>
            <w:gridSpan w:val="2"/>
            <w:tcBorders>
              <w:top w:val="single" w:color="auto" w:sz="4" w:space="0"/>
              <w:bottom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 xml:space="preserve">  三级医院（万元）</w:t>
            </w:r>
          </w:p>
        </w:tc>
        <w:tc>
          <w:tcPr>
            <w:tcW w:w="2084" w:type="dxa"/>
            <w:gridSpan w:val="2"/>
            <w:tcBorders>
              <w:top w:val="single" w:color="auto" w:sz="4" w:space="0"/>
              <w:bottom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二级医院（万元）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0" w:hRule="atLeast"/>
          <w:jc w:val="center"/>
        </w:trPr>
        <w:tc>
          <w:tcPr>
            <w:tcW w:w="1232" w:type="dxa"/>
            <w:tcBorders>
              <w:top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手术</w:t>
            </w:r>
          </w:p>
          <w:p>
            <w:pPr>
              <w:widowControl/>
              <w:spacing w:line="410" w:lineRule="exact"/>
              <w:jc w:val="center"/>
              <w:rPr>
                <w:rFonts w:ascii="宋体" w:hAnsi="宋体" w:cs="宋体"/>
                <w:b/>
                <w:bCs/>
                <w:kern w:val="0"/>
                <w:szCs w:val="21"/>
              </w:rPr>
            </w:pPr>
            <w:r>
              <w:rPr>
                <w:rFonts w:hint="eastAsia" w:ascii="宋体" w:hAnsi="宋体" w:cs="宋体"/>
                <w:b/>
                <w:bCs/>
                <w:kern w:val="0"/>
                <w:szCs w:val="21"/>
              </w:rPr>
              <w:t>方式</w:t>
            </w:r>
          </w:p>
        </w:tc>
        <w:tc>
          <w:tcPr>
            <w:tcW w:w="1042" w:type="dxa"/>
            <w:tcBorders>
              <w:top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支付</w:t>
            </w:r>
          </w:p>
          <w:p>
            <w:pPr>
              <w:widowControl/>
              <w:spacing w:line="410" w:lineRule="exact"/>
              <w:jc w:val="center"/>
              <w:rPr>
                <w:rFonts w:ascii="宋体" w:hAnsi="宋体" w:cs="宋体"/>
                <w:b/>
                <w:bCs/>
                <w:kern w:val="0"/>
                <w:szCs w:val="21"/>
              </w:rPr>
            </w:pPr>
            <w:r>
              <w:rPr>
                <w:rFonts w:hint="eastAsia" w:ascii="宋体" w:hAnsi="宋体" w:cs="宋体"/>
                <w:b/>
                <w:bCs/>
                <w:kern w:val="0"/>
                <w:szCs w:val="21"/>
              </w:rPr>
              <w:t>标准</w:t>
            </w:r>
          </w:p>
        </w:tc>
        <w:tc>
          <w:tcPr>
            <w:tcW w:w="1042" w:type="dxa"/>
            <w:tcBorders>
              <w:top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新农合</w:t>
            </w:r>
          </w:p>
          <w:p>
            <w:pPr>
              <w:widowControl/>
              <w:spacing w:line="410" w:lineRule="exact"/>
              <w:jc w:val="center"/>
              <w:rPr>
                <w:rFonts w:ascii="宋体" w:hAnsi="宋体" w:cs="宋体"/>
                <w:b/>
                <w:bCs/>
                <w:kern w:val="0"/>
                <w:szCs w:val="21"/>
              </w:rPr>
            </w:pPr>
            <w:r>
              <w:rPr>
                <w:rFonts w:hint="eastAsia" w:ascii="宋体" w:hAnsi="宋体" w:cs="宋体"/>
                <w:b/>
                <w:bCs/>
                <w:kern w:val="0"/>
                <w:szCs w:val="21"/>
              </w:rPr>
              <w:t>支付</w:t>
            </w:r>
          </w:p>
        </w:tc>
        <w:tc>
          <w:tcPr>
            <w:tcW w:w="1042" w:type="dxa"/>
            <w:tcBorders>
              <w:top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支付</w:t>
            </w:r>
          </w:p>
          <w:p>
            <w:pPr>
              <w:widowControl/>
              <w:spacing w:line="410" w:lineRule="exact"/>
              <w:jc w:val="center"/>
              <w:rPr>
                <w:rFonts w:ascii="宋体" w:hAnsi="宋体" w:cs="宋体"/>
                <w:b/>
                <w:bCs/>
                <w:kern w:val="0"/>
                <w:szCs w:val="21"/>
              </w:rPr>
            </w:pPr>
            <w:r>
              <w:rPr>
                <w:rFonts w:hint="eastAsia" w:ascii="宋体" w:hAnsi="宋体" w:cs="宋体"/>
                <w:b/>
                <w:bCs/>
                <w:kern w:val="0"/>
                <w:szCs w:val="21"/>
              </w:rPr>
              <w:t>标准</w:t>
            </w:r>
          </w:p>
        </w:tc>
        <w:tc>
          <w:tcPr>
            <w:tcW w:w="1042" w:type="dxa"/>
            <w:tcBorders>
              <w:top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新农合</w:t>
            </w:r>
          </w:p>
          <w:p>
            <w:pPr>
              <w:widowControl/>
              <w:spacing w:line="410" w:lineRule="exact"/>
              <w:jc w:val="center"/>
              <w:rPr>
                <w:rFonts w:ascii="宋体" w:hAnsi="宋体" w:cs="宋体"/>
                <w:b/>
                <w:bCs/>
                <w:kern w:val="0"/>
                <w:szCs w:val="21"/>
              </w:rPr>
            </w:pPr>
            <w:r>
              <w:rPr>
                <w:rFonts w:hint="eastAsia" w:ascii="宋体" w:hAnsi="宋体" w:cs="宋体"/>
                <w:b/>
                <w:bCs/>
                <w:kern w:val="0"/>
                <w:szCs w:val="21"/>
              </w:rPr>
              <w:t>支付</w:t>
            </w:r>
          </w:p>
        </w:tc>
        <w:tc>
          <w:tcPr>
            <w:tcW w:w="1042" w:type="dxa"/>
            <w:tcBorders>
              <w:top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支付</w:t>
            </w:r>
          </w:p>
          <w:p>
            <w:pPr>
              <w:widowControl/>
              <w:spacing w:line="410" w:lineRule="exact"/>
              <w:jc w:val="center"/>
              <w:rPr>
                <w:rFonts w:ascii="宋体" w:hAnsi="宋体" w:cs="宋体"/>
                <w:b/>
                <w:bCs/>
                <w:kern w:val="0"/>
                <w:szCs w:val="21"/>
              </w:rPr>
            </w:pPr>
            <w:r>
              <w:rPr>
                <w:rFonts w:hint="eastAsia" w:ascii="宋体" w:hAnsi="宋体" w:cs="宋体"/>
                <w:b/>
                <w:bCs/>
                <w:kern w:val="0"/>
                <w:szCs w:val="21"/>
              </w:rPr>
              <w:t>标准</w:t>
            </w:r>
          </w:p>
        </w:tc>
        <w:tc>
          <w:tcPr>
            <w:tcW w:w="1042" w:type="dxa"/>
            <w:tcBorders>
              <w:top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新农合</w:t>
            </w:r>
          </w:p>
          <w:p>
            <w:pPr>
              <w:widowControl/>
              <w:spacing w:line="410" w:lineRule="exact"/>
              <w:jc w:val="center"/>
              <w:rPr>
                <w:rFonts w:ascii="宋体" w:hAnsi="宋体" w:cs="宋体"/>
                <w:b/>
                <w:bCs/>
                <w:kern w:val="0"/>
                <w:szCs w:val="21"/>
              </w:rPr>
            </w:pPr>
            <w:r>
              <w:rPr>
                <w:rFonts w:hint="eastAsia" w:ascii="宋体" w:hAnsi="宋体" w:cs="宋体"/>
                <w:b/>
                <w:bCs/>
                <w:kern w:val="0"/>
                <w:szCs w:val="21"/>
              </w:rPr>
              <w:t>支付</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0" w:hRule="atLeast"/>
          <w:jc w:val="center"/>
        </w:trPr>
        <w:tc>
          <w:tcPr>
            <w:tcW w:w="1232" w:type="dxa"/>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腹会阴联合切除手术</w:t>
            </w:r>
          </w:p>
        </w:tc>
        <w:tc>
          <w:tcPr>
            <w:tcW w:w="1042" w:type="dxa"/>
            <w:vAlign w:val="center"/>
          </w:tcPr>
          <w:p>
            <w:pPr>
              <w:widowControl/>
              <w:spacing w:line="410" w:lineRule="exact"/>
              <w:jc w:val="center"/>
              <w:rPr>
                <w:rFonts w:ascii="宋体" w:hAnsi="宋体"/>
                <w:bCs/>
                <w:kern w:val="0"/>
                <w:szCs w:val="21"/>
              </w:rPr>
            </w:pPr>
            <w:r>
              <w:rPr>
                <w:rFonts w:ascii="宋体" w:hAnsi="宋体"/>
                <w:bCs/>
                <w:kern w:val="0"/>
                <w:szCs w:val="21"/>
              </w:rPr>
              <w:t>3.9</w:t>
            </w:r>
          </w:p>
        </w:tc>
        <w:tc>
          <w:tcPr>
            <w:tcW w:w="1042" w:type="dxa"/>
            <w:vAlign w:val="center"/>
          </w:tcPr>
          <w:p>
            <w:pPr>
              <w:widowControl/>
              <w:spacing w:line="410" w:lineRule="exact"/>
              <w:jc w:val="center"/>
              <w:rPr>
                <w:rFonts w:ascii="宋体" w:hAnsi="宋体"/>
                <w:bCs/>
                <w:kern w:val="0"/>
                <w:szCs w:val="21"/>
              </w:rPr>
            </w:pPr>
            <w:r>
              <w:rPr>
                <w:rFonts w:ascii="宋体" w:hAnsi="宋体"/>
                <w:bCs/>
                <w:kern w:val="0"/>
                <w:szCs w:val="21"/>
              </w:rPr>
              <w:t>2.73</w:t>
            </w:r>
          </w:p>
        </w:tc>
        <w:tc>
          <w:tcPr>
            <w:tcW w:w="1042" w:type="dxa"/>
            <w:vAlign w:val="center"/>
          </w:tcPr>
          <w:p>
            <w:pPr>
              <w:widowControl/>
              <w:spacing w:line="410" w:lineRule="exact"/>
              <w:jc w:val="center"/>
              <w:rPr>
                <w:rFonts w:ascii="宋体" w:hAnsi="宋体"/>
                <w:kern w:val="0"/>
                <w:szCs w:val="21"/>
              </w:rPr>
            </w:pPr>
            <w:r>
              <w:rPr>
                <w:rFonts w:ascii="宋体" w:hAnsi="宋体"/>
                <w:kern w:val="0"/>
                <w:szCs w:val="21"/>
              </w:rPr>
              <w:t>3.7</w:t>
            </w:r>
          </w:p>
        </w:tc>
        <w:tc>
          <w:tcPr>
            <w:tcW w:w="1042" w:type="dxa"/>
            <w:vAlign w:val="center"/>
          </w:tcPr>
          <w:p>
            <w:pPr>
              <w:widowControl/>
              <w:spacing w:line="410" w:lineRule="exact"/>
              <w:jc w:val="center"/>
              <w:rPr>
                <w:rFonts w:ascii="宋体" w:hAnsi="宋体"/>
                <w:kern w:val="0"/>
                <w:szCs w:val="21"/>
              </w:rPr>
            </w:pPr>
            <w:r>
              <w:rPr>
                <w:rFonts w:ascii="宋体" w:hAnsi="宋体"/>
                <w:kern w:val="0"/>
                <w:szCs w:val="21"/>
              </w:rPr>
              <w:t>2.</w:t>
            </w:r>
            <w:r>
              <w:rPr>
                <w:rFonts w:hint="eastAsia" w:ascii="宋体" w:hAnsi="宋体"/>
                <w:kern w:val="0"/>
                <w:szCs w:val="21"/>
              </w:rPr>
              <w:t>59</w:t>
            </w:r>
          </w:p>
        </w:tc>
        <w:tc>
          <w:tcPr>
            <w:tcW w:w="1042" w:type="dxa"/>
            <w:vAlign w:val="center"/>
          </w:tcPr>
          <w:p>
            <w:pPr>
              <w:widowControl/>
              <w:spacing w:line="410" w:lineRule="exact"/>
              <w:jc w:val="center"/>
              <w:rPr>
                <w:rFonts w:ascii="宋体" w:hAnsi="宋体"/>
                <w:kern w:val="0"/>
                <w:szCs w:val="21"/>
              </w:rPr>
            </w:pPr>
            <w:r>
              <w:rPr>
                <w:rFonts w:ascii="宋体" w:hAnsi="宋体"/>
                <w:kern w:val="0"/>
                <w:szCs w:val="21"/>
              </w:rPr>
              <w:t>3</w:t>
            </w:r>
            <w:r>
              <w:rPr>
                <w:rFonts w:hint="eastAsia" w:ascii="宋体" w:hAnsi="宋体"/>
                <w:kern w:val="0"/>
                <w:szCs w:val="21"/>
              </w:rPr>
              <w:t>.0</w:t>
            </w:r>
          </w:p>
        </w:tc>
        <w:tc>
          <w:tcPr>
            <w:tcW w:w="1042" w:type="dxa"/>
            <w:vAlign w:val="center"/>
          </w:tcPr>
          <w:p>
            <w:pPr>
              <w:widowControl/>
              <w:spacing w:line="410" w:lineRule="exact"/>
              <w:jc w:val="center"/>
              <w:rPr>
                <w:rFonts w:ascii="宋体" w:hAnsi="宋体"/>
                <w:kern w:val="0"/>
                <w:szCs w:val="21"/>
              </w:rPr>
            </w:pPr>
            <w:r>
              <w:rPr>
                <w:rFonts w:ascii="宋体" w:hAnsi="宋体"/>
                <w:kern w:val="0"/>
                <w:szCs w:val="21"/>
              </w:rPr>
              <w:t>2.25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79" w:hRule="atLeast"/>
          <w:jc w:val="center"/>
        </w:trPr>
        <w:tc>
          <w:tcPr>
            <w:tcW w:w="1232" w:type="dxa"/>
            <w:tcBorders>
              <w:bottom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低位前切术</w:t>
            </w:r>
          </w:p>
        </w:tc>
        <w:tc>
          <w:tcPr>
            <w:tcW w:w="1042" w:type="dxa"/>
            <w:tcBorders>
              <w:bottom w:val="single" w:color="auto" w:sz="4" w:space="0"/>
            </w:tcBorders>
            <w:vAlign w:val="center"/>
          </w:tcPr>
          <w:p>
            <w:pPr>
              <w:widowControl/>
              <w:spacing w:line="410" w:lineRule="exact"/>
              <w:jc w:val="center"/>
              <w:rPr>
                <w:rFonts w:ascii="宋体" w:hAnsi="宋体"/>
                <w:kern w:val="0"/>
                <w:szCs w:val="21"/>
              </w:rPr>
            </w:pPr>
            <w:r>
              <w:rPr>
                <w:rFonts w:ascii="宋体" w:hAnsi="宋体"/>
                <w:kern w:val="0"/>
                <w:szCs w:val="21"/>
              </w:rPr>
              <w:t>3.6</w:t>
            </w:r>
          </w:p>
        </w:tc>
        <w:tc>
          <w:tcPr>
            <w:tcW w:w="1042" w:type="dxa"/>
            <w:tcBorders>
              <w:bottom w:val="single" w:color="auto" w:sz="4" w:space="0"/>
            </w:tcBorders>
            <w:vAlign w:val="center"/>
          </w:tcPr>
          <w:p>
            <w:pPr>
              <w:widowControl/>
              <w:spacing w:line="410" w:lineRule="exact"/>
              <w:jc w:val="center"/>
              <w:rPr>
                <w:rFonts w:ascii="宋体" w:hAnsi="宋体"/>
                <w:kern w:val="0"/>
                <w:szCs w:val="21"/>
              </w:rPr>
            </w:pPr>
            <w:r>
              <w:rPr>
                <w:rFonts w:ascii="宋体" w:hAnsi="宋体"/>
                <w:kern w:val="0"/>
                <w:szCs w:val="21"/>
              </w:rPr>
              <w:t>2.52</w:t>
            </w:r>
          </w:p>
        </w:tc>
        <w:tc>
          <w:tcPr>
            <w:tcW w:w="1042" w:type="dxa"/>
            <w:tcBorders>
              <w:bottom w:val="single" w:color="auto" w:sz="4" w:space="0"/>
            </w:tcBorders>
            <w:vAlign w:val="center"/>
          </w:tcPr>
          <w:p>
            <w:pPr>
              <w:widowControl/>
              <w:spacing w:line="410" w:lineRule="exact"/>
              <w:jc w:val="center"/>
              <w:rPr>
                <w:rFonts w:ascii="宋体" w:hAnsi="宋体"/>
                <w:kern w:val="0"/>
                <w:szCs w:val="21"/>
              </w:rPr>
            </w:pPr>
            <w:r>
              <w:rPr>
                <w:rFonts w:ascii="宋体" w:hAnsi="宋体"/>
                <w:kern w:val="0"/>
                <w:szCs w:val="21"/>
              </w:rPr>
              <w:t>3.4</w:t>
            </w:r>
          </w:p>
        </w:tc>
        <w:tc>
          <w:tcPr>
            <w:tcW w:w="1042" w:type="dxa"/>
            <w:tcBorders>
              <w:bottom w:val="single" w:color="auto" w:sz="4" w:space="0"/>
            </w:tcBorders>
            <w:vAlign w:val="center"/>
          </w:tcPr>
          <w:p>
            <w:pPr>
              <w:widowControl/>
              <w:spacing w:line="410" w:lineRule="exact"/>
              <w:jc w:val="center"/>
              <w:rPr>
                <w:rFonts w:ascii="宋体" w:hAnsi="宋体"/>
                <w:kern w:val="0"/>
                <w:szCs w:val="21"/>
              </w:rPr>
            </w:pPr>
            <w:r>
              <w:rPr>
                <w:rFonts w:ascii="宋体" w:hAnsi="宋体"/>
                <w:kern w:val="0"/>
                <w:szCs w:val="21"/>
              </w:rPr>
              <w:t>2.38</w:t>
            </w:r>
          </w:p>
        </w:tc>
        <w:tc>
          <w:tcPr>
            <w:tcW w:w="1042" w:type="dxa"/>
            <w:tcBorders>
              <w:bottom w:val="single" w:color="auto" w:sz="4" w:space="0"/>
            </w:tcBorders>
            <w:vAlign w:val="center"/>
          </w:tcPr>
          <w:p>
            <w:pPr>
              <w:widowControl/>
              <w:spacing w:line="410" w:lineRule="exact"/>
              <w:jc w:val="center"/>
              <w:rPr>
                <w:rFonts w:ascii="宋体" w:hAnsi="宋体"/>
                <w:kern w:val="0"/>
                <w:szCs w:val="21"/>
              </w:rPr>
            </w:pPr>
            <w:r>
              <w:rPr>
                <w:rFonts w:ascii="宋体" w:hAnsi="宋体"/>
                <w:kern w:val="0"/>
                <w:szCs w:val="21"/>
              </w:rPr>
              <w:t>2.7</w:t>
            </w:r>
          </w:p>
        </w:tc>
        <w:tc>
          <w:tcPr>
            <w:tcW w:w="1042" w:type="dxa"/>
            <w:tcBorders>
              <w:bottom w:val="single" w:color="auto" w:sz="4" w:space="0"/>
            </w:tcBorders>
            <w:vAlign w:val="center"/>
          </w:tcPr>
          <w:p>
            <w:pPr>
              <w:widowControl/>
              <w:spacing w:line="410" w:lineRule="exact"/>
              <w:jc w:val="center"/>
              <w:rPr>
                <w:rFonts w:ascii="宋体" w:hAnsi="宋体"/>
                <w:kern w:val="0"/>
                <w:szCs w:val="21"/>
              </w:rPr>
            </w:pPr>
            <w:r>
              <w:rPr>
                <w:rFonts w:ascii="宋体" w:hAnsi="宋体"/>
                <w:kern w:val="0"/>
                <w:szCs w:val="21"/>
              </w:rPr>
              <w:t>2.03</w:t>
            </w:r>
          </w:p>
        </w:tc>
      </w:tr>
    </w:tbl>
    <w:p>
      <w:pPr>
        <w:pStyle w:val="5"/>
        <w:adjustRightInd w:val="0"/>
        <w:snapToGrid w:val="0"/>
        <w:spacing w:line="430" w:lineRule="exact"/>
        <w:ind w:firstLine="480"/>
        <w:rPr>
          <w:rFonts w:hint="eastAsia" w:ascii="黑体" w:hAnsi="宋体" w:eastAsia="黑体"/>
          <w:snapToGrid w:val="0"/>
          <w:color w:val="000000"/>
          <w:kern w:val="0"/>
          <w:sz w:val="24"/>
        </w:rPr>
      </w:pPr>
      <w:r>
        <w:rPr>
          <w:rFonts w:hint="eastAsia" w:ascii="黑体" w:hAnsi="宋体" w:eastAsia="黑体"/>
          <w:snapToGrid w:val="0"/>
          <w:color w:val="000000"/>
          <w:kern w:val="0"/>
          <w:sz w:val="24"/>
        </w:rPr>
        <w:t>十、胃癌</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pStyle w:val="5"/>
        <w:adjustRightInd w:val="0"/>
        <w:snapToGrid w:val="0"/>
        <w:spacing w:line="430" w:lineRule="exact"/>
        <w:ind w:firstLine="480"/>
        <w:rPr>
          <w:rFonts w:hint="eastAsia" w:ascii="宋体" w:hAnsi="宋体"/>
          <w:snapToGrid w:val="0"/>
          <w:color w:val="000000"/>
          <w:kern w:val="0"/>
          <w:sz w:val="24"/>
        </w:rPr>
      </w:pPr>
      <w:r>
        <w:rPr>
          <w:rFonts w:hint="eastAsia" w:ascii="宋体" w:hAnsi="宋体"/>
          <w:snapToGrid w:val="0"/>
          <w:color w:val="000000"/>
          <w:kern w:val="0"/>
          <w:sz w:val="24"/>
        </w:rPr>
        <w:t>胃癌根治术手术适用对象：</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1.以胃癌（ICD-10:C16）为第一诊断的患者。</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2.行胃癌根治术（ICD-9-CM-3:43.5-43.9）。</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3.肿瘤分期为T</w:t>
      </w:r>
      <w:r>
        <w:rPr>
          <w:rFonts w:hint="eastAsia" w:ascii="宋体" w:hAnsi="宋体"/>
          <w:snapToGrid w:val="0"/>
          <w:color w:val="000000"/>
          <w:kern w:val="0"/>
          <w:sz w:val="24"/>
          <w:vertAlign w:val="subscript"/>
        </w:rPr>
        <w:t>1-4a</w:t>
      </w:r>
      <w:r>
        <w:rPr>
          <w:rFonts w:hint="eastAsia" w:ascii="宋体" w:hAnsi="宋体"/>
          <w:snapToGrid w:val="0"/>
          <w:color w:val="000000"/>
          <w:kern w:val="0"/>
          <w:sz w:val="24"/>
        </w:rPr>
        <w:t>N</w:t>
      </w:r>
      <w:r>
        <w:rPr>
          <w:rFonts w:hint="eastAsia" w:ascii="宋体" w:hAnsi="宋体"/>
          <w:snapToGrid w:val="0"/>
          <w:color w:val="000000"/>
          <w:kern w:val="0"/>
          <w:sz w:val="24"/>
          <w:vertAlign w:val="subscript"/>
        </w:rPr>
        <w:t>0-3</w:t>
      </w:r>
      <w:r>
        <w:rPr>
          <w:rFonts w:hint="eastAsia" w:ascii="宋体" w:hAnsi="宋体"/>
          <w:snapToGrid w:val="0"/>
          <w:color w:val="000000"/>
          <w:kern w:val="0"/>
          <w:sz w:val="24"/>
        </w:rPr>
        <w:t>M</w:t>
      </w:r>
      <w:r>
        <w:rPr>
          <w:rFonts w:hint="eastAsia" w:ascii="宋体" w:hAnsi="宋体"/>
          <w:snapToGrid w:val="0"/>
          <w:color w:val="000000"/>
          <w:kern w:val="0"/>
          <w:sz w:val="24"/>
          <w:vertAlign w:val="subscript"/>
        </w:rPr>
        <w:t>0</w:t>
      </w:r>
      <w:r>
        <w:rPr>
          <w:rFonts w:hint="eastAsia" w:ascii="宋体" w:hAnsi="宋体"/>
          <w:snapToGrid w:val="0"/>
          <w:color w:val="000000"/>
          <w:kern w:val="0"/>
          <w:sz w:val="24"/>
        </w:rPr>
        <w:t>（根据AJCC第7版）。</w:t>
      </w:r>
    </w:p>
    <w:p>
      <w:pPr>
        <w:pStyle w:val="5"/>
        <w:adjustRightInd w:val="0"/>
        <w:snapToGrid w:val="0"/>
        <w:spacing w:line="430" w:lineRule="exact"/>
        <w:ind w:firstLine="480"/>
        <w:rPr>
          <w:rFonts w:hint="eastAsia" w:ascii="宋体" w:hAnsi="宋体"/>
          <w:snapToGrid w:val="0"/>
          <w:color w:val="000000"/>
          <w:kern w:val="0"/>
          <w:sz w:val="24"/>
        </w:rPr>
      </w:pPr>
      <w:r>
        <w:rPr>
          <w:rFonts w:hint="eastAsia" w:ascii="宋体" w:hAnsi="宋体"/>
          <w:snapToGrid w:val="0"/>
          <w:color w:val="000000"/>
          <w:kern w:val="0"/>
          <w:sz w:val="24"/>
        </w:rPr>
        <w:t>胃癌联合脏器切除术：</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1.以胃癌（ICD-10：C16）为第一诊断的患者。</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2.肿瘤分期为T</w:t>
      </w:r>
      <w:r>
        <w:rPr>
          <w:rFonts w:hint="eastAsia" w:ascii="宋体" w:hAnsi="宋体"/>
          <w:snapToGrid w:val="0"/>
          <w:color w:val="000000"/>
          <w:kern w:val="0"/>
          <w:sz w:val="24"/>
          <w:vertAlign w:val="subscript"/>
        </w:rPr>
        <w:t>4</w:t>
      </w:r>
      <w:r>
        <w:rPr>
          <w:rFonts w:hint="eastAsia" w:ascii="宋体" w:hAnsi="宋体"/>
          <w:snapToGrid w:val="0"/>
          <w:color w:val="000000"/>
          <w:kern w:val="0"/>
          <w:sz w:val="24"/>
        </w:rPr>
        <w:t>，与周围脏器浸润，无远处转移。</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3.需行联合脏器切除的扩大胃癌根治术（ICD-9-CM-3：43.5-43.9），或联合脏器切除的姑息性胃切除术（ICD-9-CM-3：43.5-43.9）。</w:t>
      </w:r>
    </w:p>
    <w:p>
      <w:pPr>
        <w:pStyle w:val="5"/>
        <w:adjustRightInd w:val="0"/>
        <w:snapToGrid w:val="0"/>
        <w:spacing w:line="430" w:lineRule="exact"/>
        <w:ind w:firstLine="480"/>
        <w:rPr>
          <w:rFonts w:ascii="宋体" w:hAnsi="宋体"/>
          <w:snapToGrid w:val="0"/>
          <w:color w:val="000000"/>
          <w:kern w:val="0"/>
          <w:sz w:val="24"/>
        </w:rPr>
      </w:pPr>
      <w:r>
        <w:rPr>
          <w:rFonts w:hint="eastAsia" w:ascii="宋体" w:hAnsi="宋体"/>
          <w:snapToGrid w:val="0"/>
          <w:color w:val="000000"/>
          <w:kern w:val="0"/>
          <w:sz w:val="24"/>
        </w:rPr>
        <w:t>在指定医疗机构行开腹远侧、近侧、全胃或联合脏器切除术，住院期间发生的费用纳入新农合重大疾病按病种付费范围。</w:t>
      </w:r>
    </w:p>
    <w:p>
      <w:pPr>
        <w:widowControl/>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pStyle w:val="5"/>
        <w:adjustRightInd w:val="0"/>
        <w:snapToGrid w:val="0"/>
        <w:spacing w:line="430" w:lineRule="exact"/>
        <w:ind w:firstLine="480"/>
        <w:rPr>
          <w:rFonts w:hint="eastAsia" w:ascii="宋体" w:hAnsi="宋体"/>
          <w:snapToGrid w:val="0"/>
          <w:color w:val="000000"/>
          <w:kern w:val="0"/>
          <w:sz w:val="24"/>
        </w:rPr>
      </w:pPr>
      <w:r>
        <w:rPr>
          <w:rFonts w:hint="eastAsia" w:ascii="宋体" w:hAnsi="宋体"/>
          <w:snapToGrid w:val="0"/>
          <w:color w:val="000000"/>
          <w:kern w:val="0"/>
          <w:sz w:val="24"/>
        </w:rPr>
        <w:t>治疗过程需严格按照《</w:t>
      </w:r>
      <w:r>
        <w:rPr>
          <w:rFonts w:ascii="宋体" w:hAnsi="宋体"/>
          <w:snapToGrid w:val="0"/>
          <w:color w:val="000000"/>
          <w:kern w:val="0"/>
          <w:sz w:val="24"/>
        </w:rPr>
        <w:t>胃癌</w:t>
      </w:r>
      <w:r>
        <w:rPr>
          <w:rFonts w:hint="eastAsia" w:ascii="宋体" w:hAnsi="宋体"/>
          <w:snapToGrid w:val="0"/>
          <w:color w:val="000000"/>
          <w:kern w:val="0"/>
          <w:sz w:val="24"/>
        </w:rPr>
        <w:t>根治手术</w:t>
      </w:r>
      <w:r>
        <w:rPr>
          <w:rFonts w:ascii="宋体" w:hAnsi="宋体"/>
          <w:snapToGrid w:val="0"/>
          <w:color w:val="000000"/>
          <w:kern w:val="0"/>
          <w:sz w:val="24"/>
        </w:rPr>
        <w:t>临床路径</w:t>
      </w:r>
      <w:r>
        <w:rPr>
          <w:rFonts w:hint="eastAsia" w:ascii="宋体" w:hAnsi="宋体"/>
          <w:snapToGrid w:val="0"/>
          <w:color w:val="000000"/>
          <w:kern w:val="0"/>
          <w:sz w:val="24"/>
        </w:rPr>
        <w:t>（2012年版）》、《</w:t>
      </w:r>
      <w:r>
        <w:rPr>
          <w:rFonts w:ascii="宋体" w:hAnsi="宋体"/>
          <w:snapToGrid w:val="0"/>
          <w:color w:val="000000"/>
          <w:kern w:val="0"/>
          <w:sz w:val="24"/>
        </w:rPr>
        <w:t>胃癌联合脏器切除</w:t>
      </w:r>
      <w:r>
        <w:rPr>
          <w:rFonts w:hint="eastAsia" w:ascii="宋体" w:hAnsi="宋体"/>
          <w:snapToGrid w:val="0"/>
          <w:color w:val="000000"/>
          <w:kern w:val="0"/>
          <w:sz w:val="24"/>
        </w:rPr>
        <w:t>手术</w:t>
      </w:r>
      <w:r>
        <w:rPr>
          <w:rFonts w:ascii="宋体" w:hAnsi="宋体"/>
          <w:snapToGrid w:val="0"/>
          <w:color w:val="000000"/>
          <w:kern w:val="0"/>
          <w:sz w:val="24"/>
        </w:rPr>
        <w:t>临床路径</w:t>
      </w:r>
      <w:r>
        <w:rPr>
          <w:rFonts w:hint="eastAsia" w:ascii="宋体" w:hAnsi="宋体"/>
          <w:snapToGrid w:val="0"/>
          <w:color w:val="000000"/>
          <w:kern w:val="0"/>
          <w:sz w:val="24"/>
        </w:rPr>
        <w:t>》执行，方可实行按病种付费。</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（三）支付标准。</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 xml:space="preserve">支付的费用包括患者每次住院期间发生的费用（含术后1个周期的化疗）。医院应按照定额支付标准收取费用，其中三级医院相应标准的70%，二级医院相应标准的75%由新农合基金支付。 </w:t>
      </w:r>
    </w:p>
    <w:p>
      <w:pPr>
        <w:pStyle w:val="5"/>
        <w:spacing w:line="430" w:lineRule="exact"/>
        <w:ind w:firstLine="0" w:firstLineChars="0"/>
        <w:jc w:val="center"/>
        <w:rPr>
          <w:rFonts w:hint="eastAsia" w:ascii="宋体" w:hAnsi="宋体"/>
          <w:sz w:val="24"/>
        </w:rPr>
      </w:pPr>
      <w:r>
        <w:rPr>
          <w:rFonts w:hint="eastAsia" w:ascii="宋体" w:hAnsi="宋体"/>
          <w:sz w:val="24"/>
        </w:rPr>
        <w:t>表10   胃癌住院治疗费用的定额支付标准</w:t>
      </w:r>
    </w:p>
    <w:tbl>
      <w:tblPr>
        <w:tblStyle w:val="4"/>
        <w:tblW w:w="7484" w:type="dxa"/>
        <w:jc w:val="center"/>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6"/>
        <w:gridCol w:w="1026"/>
        <w:gridCol w:w="1026"/>
        <w:gridCol w:w="1027"/>
        <w:gridCol w:w="1026"/>
        <w:gridCol w:w="1026"/>
        <w:gridCol w:w="102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26" w:type="dxa"/>
            <w:tcBorders>
              <w:top w:val="single" w:color="auto" w:sz="4" w:space="0"/>
              <w:bottom w:val="single" w:color="auto" w:sz="4" w:space="0"/>
            </w:tcBorders>
            <w:vAlign w:val="center"/>
          </w:tcPr>
          <w:p>
            <w:pPr>
              <w:widowControl/>
              <w:spacing w:line="410" w:lineRule="exact"/>
              <w:jc w:val="left"/>
              <w:rPr>
                <w:rFonts w:ascii="宋体" w:hAnsi="宋体" w:cs="宋体"/>
                <w:kern w:val="0"/>
                <w:szCs w:val="21"/>
              </w:rPr>
            </w:pPr>
            <w:r>
              <w:rPr>
                <w:rFonts w:hint="eastAsia" w:ascii="宋体" w:hAnsi="宋体" w:cs="宋体"/>
                <w:kern w:val="0"/>
                <w:szCs w:val="21"/>
              </w:rPr>
              <w:t>　</w:t>
            </w:r>
          </w:p>
        </w:tc>
        <w:tc>
          <w:tcPr>
            <w:tcW w:w="2052" w:type="dxa"/>
            <w:gridSpan w:val="2"/>
            <w:tcBorders>
              <w:top w:val="single" w:color="auto" w:sz="4" w:space="0"/>
              <w:bottom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省级定点救治医院（万元）</w:t>
            </w:r>
          </w:p>
        </w:tc>
        <w:tc>
          <w:tcPr>
            <w:tcW w:w="2053" w:type="dxa"/>
            <w:gridSpan w:val="2"/>
            <w:tcBorders>
              <w:top w:val="single" w:color="auto" w:sz="4" w:space="0"/>
              <w:bottom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三级医院（万元）</w:t>
            </w:r>
          </w:p>
        </w:tc>
        <w:tc>
          <w:tcPr>
            <w:tcW w:w="2053" w:type="dxa"/>
            <w:gridSpan w:val="2"/>
            <w:tcBorders>
              <w:top w:val="single" w:color="auto" w:sz="4" w:space="0"/>
              <w:bottom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二级医院</w:t>
            </w:r>
          </w:p>
          <w:p>
            <w:pPr>
              <w:widowControl/>
              <w:spacing w:line="410" w:lineRule="exact"/>
              <w:jc w:val="center"/>
              <w:rPr>
                <w:rFonts w:ascii="宋体" w:hAnsi="宋体" w:cs="宋体"/>
                <w:b/>
                <w:bCs/>
                <w:kern w:val="0"/>
                <w:szCs w:val="21"/>
              </w:rPr>
            </w:pPr>
            <w:r>
              <w:rPr>
                <w:rFonts w:hint="eastAsia" w:ascii="宋体" w:hAnsi="宋体" w:cs="宋体"/>
                <w:b/>
                <w:bCs/>
                <w:kern w:val="0"/>
                <w:szCs w:val="21"/>
              </w:rPr>
              <w:t>（万元）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326" w:type="dxa"/>
            <w:tcBorders>
              <w:top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手术方式</w:t>
            </w:r>
          </w:p>
        </w:tc>
        <w:tc>
          <w:tcPr>
            <w:tcW w:w="1026" w:type="dxa"/>
            <w:tcBorders>
              <w:top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支付</w:t>
            </w:r>
          </w:p>
          <w:p>
            <w:pPr>
              <w:widowControl/>
              <w:spacing w:line="410" w:lineRule="exact"/>
              <w:jc w:val="center"/>
              <w:rPr>
                <w:rFonts w:ascii="宋体" w:hAnsi="宋体" w:cs="宋体"/>
                <w:b/>
                <w:bCs/>
                <w:kern w:val="0"/>
                <w:szCs w:val="21"/>
              </w:rPr>
            </w:pPr>
            <w:r>
              <w:rPr>
                <w:rFonts w:hint="eastAsia" w:ascii="宋体" w:hAnsi="宋体" w:cs="宋体"/>
                <w:b/>
                <w:bCs/>
                <w:kern w:val="0"/>
                <w:szCs w:val="21"/>
              </w:rPr>
              <w:t>标准</w:t>
            </w:r>
          </w:p>
        </w:tc>
        <w:tc>
          <w:tcPr>
            <w:tcW w:w="1026" w:type="dxa"/>
            <w:tcBorders>
              <w:top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027" w:type="dxa"/>
            <w:tcBorders>
              <w:top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支付</w:t>
            </w:r>
          </w:p>
          <w:p>
            <w:pPr>
              <w:widowControl/>
              <w:spacing w:line="410" w:lineRule="exact"/>
              <w:jc w:val="center"/>
              <w:rPr>
                <w:rFonts w:ascii="宋体" w:hAnsi="宋体" w:cs="宋体"/>
                <w:b/>
                <w:bCs/>
                <w:kern w:val="0"/>
                <w:szCs w:val="21"/>
              </w:rPr>
            </w:pPr>
            <w:r>
              <w:rPr>
                <w:rFonts w:hint="eastAsia" w:ascii="宋体" w:hAnsi="宋体" w:cs="宋体"/>
                <w:b/>
                <w:bCs/>
                <w:kern w:val="0"/>
                <w:szCs w:val="21"/>
              </w:rPr>
              <w:t>标准</w:t>
            </w:r>
          </w:p>
        </w:tc>
        <w:tc>
          <w:tcPr>
            <w:tcW w:w="1026" w:type="dxa"/>
            <w:tcBorders>
              <w:top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026" w:type="dxa"/>
            <w:tcBorders>
              <w:top w:val="single" w:color="auto" w:sz="4" w:space="0"/>
            </w:tcBorders>
            <w:vAlign w:val="center"/>
          </w:tcPr>
          <w:p>
            <w:pPr>
              <w:widowControl/>
              <w:spacing w:line="410" w:lineRule="exact"/>
              <w:jc w:val="center"/>
              <w:rPr>
                <w:rFonts w:hint="eastAsia" w:ascii="宋体" w:hAnsi="宋体" w:cs="宋体"/>
                <w:b/>
                <w:bCs/>
                <w:kern w:val="0"/>
                <w:szCs w:val="21"/>
              </w:rPr>
            </w:pPr>
            <w:r>
              <w:rPr>
                <w:rFonts w:hint="eastAsia" w:ascii="宋体" w:hAnsi="宋体" w:cs="宋体"/>
                <w:b/>
                <w:bCs/>
                <w:kern w:val="0"/>
                <w:szCs w:val="21"/>
              </w:rPr>
              <w:t>支付</w:t>
            </w:r>
          </w:p>
          <w:p>
            <w:pPr>
              <w:widowControl/>
              <w:spacing w:line="410" w:lineRule="exact"/>
              <w:jc w:val="center"/>
              <w:rPr>
                <w:rFonts w:ascii="宋体" w:hAnsi="宋体" w:cs="宋体"/>
                <w:b/>
                <w:bCs/>
                <w:kern w:val="0"/>
                <w:szCs w:val="21"/>
              </w:rPr>
            </w:pPr>
            <w:r>
              <w:rPr>
                <w:rFonts w:hint="eastAsia" w:ascii="宋体" w:hAnsi="宋体" w:cs="宋体"/>
                <w:b/>
                <w:bCs/>
                <w:kern w:val="0"/>
                <w:szCs w:val="21"/>
              </w:rPr>
              <w:t>标准</w:t>
            </w:r>
          </w:p>
        </w:tc>
        <w:tc>
          <w:tcPr>
            <w:tcW w:w="1027" w:type="dxa"/>
            <w:tcBorders>
              <w:top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326" w:type="dxa"/>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根治术</w:t>
            </w:r>
          </w:p>
        </w:tc>
        <w:tc>
          <w:tcPr>
            <w:tcW w:w="1026" w:type="dxa"/>
            <w:vAlign w:val="center"/>
          </w:tcPr>
          <w:p>
            <w:pPr>
              <w:widowControl/>
              <w:spacing w:line="410" w:lineRule="exact"/>
              <w:jc w:val="center"/>
              <w:rPr>
                <w:rFonts w:ascii="宋体" w:hAnsi="宋体"/>
                <w:bCs/>
                <w:kern w:val="0"/>
                <w:szCs w:val="21"/>
              </w:rPr>
            </w:pPr>
            <w:r>
              <w:rPr>
                <w:rFonts w:ascii="宋体" w:hAnsi="宋体"/>
                <w:bCs/>
                <w:kern w:val="0"/>
                <w:szCs w:val="21"/>
              </w:rPr>
              <w:t>3.97</w:t>
            </w:r>
          </w:p>
        </w:tc>
        <w:tc>
          <w:tcPr>
            <w:tcW w:w="1026" w:type="dxa"/>
            <w:vAlign w:val="center"/>
          </w:tcPr>
          <w:p>
            <w:pPr>
              <w:widowControl/>
              <w:spacing w:line="410" w:lineRule="exact"/>
              <w:jc w:val="center"/>
              <w:rPr>
                <w:rFonts w:ascii="宋体" w:hAnsi="宋体"/>
                <w:bCs/>
                <w:kern w:val="0"/>
                <w:szCs w:val="21"/>
              </w:rPr>
            </w:pPr>
            <w:r>
              <w:rPr>
                <w:rFonts w:ascii="宋体" w:hAnsi="宋体"/>
                <w:bCs/>
                <w:kern w:val="0"/>
                <w:szCs w:val="21"/>
              </w:rPr>
              <w:t>2.78</w:t>
            </w:r>
          </w:p>
        </w:tc>
        <w:tc>
          <w:tcPr>
            <w:tcW w:w="1027" w:type="dxa"/>
            <w:vAlign w:val="center"/>
          </w:tcPr>
          <w:p>
            <w:pPr>
              <w:widowControl/>
              <w:spacing w:line="410" w:lineRule="exact"/>
              <w:jc w:val="center"/>
              <w:rPr>
                <w:rFonts w:ascii="宋体" w:hAnsi="宋体"/>
                <w:kern w:val="0"/>
                <w:szCs w:val="21"/>
              </w:rPr>
            </w:pPr>
            <w:r>
              <w:rPr>
                <w:rFonts w:ascii="宋体" w:hAnsi="宋体"/>
                <w:kern w:val="0"/>
                <w:szCs w:val="21"/>
              </w:rPr>
              <w:t>3.78</w:t>
            </w:r>
          </w:p>
        </w:tc>
        <w:tc>
          <w:tcPr>
            <w:tcW w:w="1026" w:type="dxa"/>
            <w:vAlign w:val="center"/>
          </w:tcPr>
          <w:p>
            <w:pPr>
              <w:widowControl/>
              <w:spacing w:line="410" w:lineRule="exact"/>
              <w:jc w:val="center"/>
              <w:rPr>
                <w:rFonts w:ascii="宋体" w:hAnsi="宋体"/>
                <w:kern w:val="0"/>
                <w:szCs w:val="21"/>
              </w:rPr>
            </w:pPr>
            <w:r>
              <w:rPr>
                <w:rFonts w:ascii="宋体" w:hAnsi="宋体"/>
                <w:kern w:val="0"/>
                <w:szCs w:val="21"/>
              </w:rPr>
              <w:t>2.65</w:t>
            </w:r>
          </w:p>
        </w:tc>
        <w:tc>
          <w:tcPr>
            <w:tcW w:w="1026" w:type="dxa"/>
            <w:vAlign w:val="center"/>
          </w:tcPr>
          <w:p>
            <w:pPr>
              <w:widowControl/>
              <w:spacing w:line="410" w:lineRule="exact"/>
              <w:jc w:val="center"/>
              <w:rPr>
                <w:rFonts w:ascii="宋体" w:hAnsi="宋体"/>
                <w:kern w:val="0"/>
                <w:szCs w:val="21"/>
              </w:rPr>
            </w:pPr>
            <w:r>
              <w:rPr>
                <w:rFonts w:ascii="宋体" w:hAnsi="宋体"/>
                <w:kern w:val="0"/>
                <w:szCs w:val="21"/>
              </w:rPr>
              <w:t>2.7</w:t>
            </w:r>
          </w:p>
        </w:tc>
        <w:tc>
          <w:tcPr>
            <w:tcW w:w="1027" w:type="dxa"/>
            <w:vAlign w:val="center"/>
          </w:tcPr>
          <w:p>
            <w:pPr>
              <w:widowControl/>
              <w:spacing w:line="410" w:lineRule="exact"/>
              <w:jc w:val="center"/>
              <w:rPr>
                <w:rFonts w:ascii="宋体" w:hAnsi="宋体"/>
                <w:kern w:val="0"/>
                <w:szCs w:val="21"/>
              </w:rPr>
            </w:pPr>
            <w:r>
              <w:rPr>
                <w:rFonts w:ascii="宋体" w:hAnsi="宋体"/>
                <w:kern w:val="0"/>
                <w:szCs w:val="21"/>
              </w:rPr>
              <w:t>2.03</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1326" w:type="dxa"/>
            <w:tcBorders>
              <w:bottom w:val="single" w:color="auto" w:sz="4" w:space="0"/>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联合脏器切除术</w:t>
            </w:r>
          </w:p>
        </w:tc>
        <w:tc>
          <w:tcPr>
            <w:tcW w:w="1026" w:type="dxa"/>
            <w:tcBorders>
              <w:bottom w:val="single" w:color="auto" w:sz="4" w:space="0"/>
            </w:tcBorders>
            <w:vAlign w:val="center"/>
          </w:tcPr>
          <w:p>
            <w:pPr>
              <w:widowControl/>
              <w:spacing w:line="410" w:lineRule="exact"/>
              <w:jc w:val="center"/>
              <w:rPr>
                <w:rFonts w:ascii="宋体" w:hAnsi="宋体"/>
                <w:kern w:val="0"/>
                <w:szCs w:val="21"/>
              </w:rPr>
            </w:pPr>
            <w:r>
              <w:rPr>
                <w:rFonts w:ascii="宋体" w:hAnsi="宋体"/>
                <w:kern w:val="0"/>
                <w:szCs w:val="21"/>
              </w:rPr>
              <w:t>4.2</w:t>
            </w:r>
          </w:p>
        </w:tc>
        <w:tc>
          <w:tcPr>
            <w:tcW w:w="1026" w:type="dxa"/>
            <w:tcBorders>
              <w:bottom w:val="single" w:color="auto" w:sz="4" w:space="0"/>
            </w:tcBorders>
            <w:vAlign w:val="center"/>
          </w:tcPr>
          <w:p>
            <w:pPr>
              <w:widowControl/>
              <w:spacing w:line="410" w:lineRule="exact"/>
              <w:jc w:val="center"/>
              <w:rPr>
                <w:rFonts w:ascii="宋体" w:hAnsi="宋体"/>
                <w:kern w:val="0"/>
                <w:szCs w:val="21"/>
              </w:rPr>
            </w:pPr>
            <w:r>
              <w:rPr>
                <w:rFonts w:ascii="宋体" w:hAnsi="宋体"/>
                <w:kern w:val="0"/>
                <w:szCs w:val="21"/>
              </w:rPr>
              <w:t>2.94</w:t>
            </w:r>
          </w:p>
        </w:tc>
        <w:tc>
          <w:tcPr>
            <w:tcW w:w="1027" w:type="dxa"/>
            <w:tcBorders>
              <w:bottom w:val="single" w:color="auto" w:sz="4" w:space="0"/>
            </w:tcBorders>
            <w:vAlign w:val="center"/>
          </w:tcPr>
          <w:p>
            <w:pPr>
              <w:widowControl/>
              <w:spacing w:line="410" w:lineRule="exact"/>
              <w:jc w:val="center"/>
              <w:rPr>
                <w:rFonts w:ascii="宋体" w:hAnsi="宋体"/>
                <w:kern w:val="0"/>
                <w:szCs w:val="21"/>
              </w:rPr>
            </w:pPr>
            <w:r>
              <w:rPr>
                <w:rFonts w:ascii="宋体" w:hAnsi="宋体"/>
                <w:kern w:val="0"/>
                <w:szCs w:val="21"/>
              </w:rPr>
              <w:t>4</w:t>
            </w:r>
            <w:r>
              <w:rPr>
                <w:rFonts w:hint="eastAsia" w:ascii="宋体" w:hAnsi="宋体"/>
                <w:kern w:val="0"/>
                <w:szCs w:val="21"/>
              </w:rPr>
              <w:t>.0</w:t>
            </w:r>
          </w:p>
        </w:tc>
        <w:tc>
          <w:tcPr>
            <w:tcW w:w="1026" w:type="dxa"/>
            <w:tcBorders>
              <w:bottom w:val="single" w:color="auto" w:sz="4" w:space="0"/>
            </w:tcBorders>
            <w:vAlign w:val="center"/>
          </w:tcPr>
          <w:p>
            <w:pPr>
              <w:widowControl/>
              <w:spacing w:line="410" w:lineRule="exact"/>
              <w:jc w:val="center"/>
              <w:rPr>
                <w:rFonts w:ascii="宋体" w:hAnsi="宋体"/>
                <w:kern w:val="0"/>
                <w:szCs w:val="21"/>
              </w:rPr>
            </w:pPr>
            <w:r>
              <w:rPr>
                <w:rFonts w:ascii="宋体" w:hAnsi="宋体"/>
                <w:kern w:val="0"/>
                <w:szCs w:val="21"/>
              </w:rPr>
              <w:t>2.8</w:t>
            </w:r>
          </w:p>
        </w:tc>
        <w:tc>
          <w:tcPr>
            <w:tcW w:w="1026" w:type="dxa"/>
            <w:tcBorders>
              <w:bottom w:val="single" w:color="auto" w:sz="4" w:space="0"/>
            </w:tcBorders>
            <w:vAlign w:val="center"/>
          </w:tcPr>
          <w:p>
            <w:pPr>
              <w:widowControl/>
              <w:spacing w:line="410" w:lineRule="exact"/>
              <w:jc w:val="center"/>
              <w:rPr>
                <w:rFonts w:ascii="宋体" w:hAnsi="宋体"/>
                <w:kern w:val="0"/>
                <w:szCs w:val="21"/>
              </w:rPr>
            </w:pPr>
            <w:r>
              <w:rPr>
                <w:rFonts w:ascii="宋体" w:hAnsi="宋体"/>
                <w:kern w:val="0"/>
                <w:szCs w:val="21"/>
              </w:rPr>
              <w:t>2.8</w:t>
            </w:r>
          </w:p>
        </w:tc>
        <w:tc>
          <w:tcPr>
            <w:tcW w:w="1027" w:type="dxa"/>
            <w:tcBorders>
              <w:bottom w:val="single" w:color="auto" w:sz="4" w:space="0"/>
            </w:tcBorders>
            <w:vAlign w:val="center"/>
          </w:tcPr>
          <w:p>
            <w:pPr>
              <w:widowControl/>
              <w:spacing w:line="410" w:lineRule="exact"/>
              <w:jc w:val="center"/>
              <w:rPr>
                <w:rFonts w:ascii="宋体" w:hAnsi="宋体"/>
                <w:kern w:val="0"/>
                <w:szCs w:val="21"/>
              </w:rPr>
            </w:pPr>
            <w:r>
              <w:rPr>
                <w:rFonts w:ascii="宋体" w:hAnsi="宋体"/>
                <w:kern w:val="0"/>
                <w:szCs w:val="21"/>
              </w:rPr>
              <w:t>2.1</w:t>
            </w:r>
          </w:p>
        </w:tc>
      </w:tr>
    </w:tbl>
    <w:p>
      <w:pPr>
        <w:pStyle w:val="5"/>
        <w:adjustRightInd w:val="0"/>
        <w:snapToGrid w:val="0"/>
        <w:spacing w:line="430" w:lineRule="exact"/>
        <w:ind w:firstLine="480"/>
        <w:rPr>
          <w:rFonts w:hint="eastAsia" w:ascii="黑体" w:hAnsi="宋体" w:eastAsia="黑体"/>
          <w:snapToGrid w:val="0"/>
          <w:color w:val="000000"/>
          <w:kern w:val="0"/>
          <w:sz w:val="24"/>
        </w:rPr>
      </w:pPr>
      <w:r>
        <w:rPr>
          <w:rFonts w:hint="eastAsia" w:ascii="黑体" w:hAnsi="宋体" w:eastAsia="黑体"/>
          <w:snapToGrid w:val="0"/>
          <w:color w:val="000000"/>
          <w:kern w:val="0"/>
          <w:sz w:val="24"/>
        </w:rPr>
        <w:t>十一、终末期肾病</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以终末期肾脏病（ICD-10：N18.0）为第一诊断的患者，采用维持性血液透析，在一年内发生的血液透析的治疗费用，纳入新农合重大疾病按病种付费范围。</w:t>
      </w:r>
    </w:p>
    <w:p>
      <w:pPr>
        <w:widowControl/>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治疗过程需严格按照《终末期肾脏病常规血液透析治疗临床路径（2011年版）》执行，方可实行按病种付费。</w:t>
      </w:r>
    </w:p>
    <w:p>
      <w:pPr>
        <w:adjustRightInd w:val="0"/>
        <w:snapToGrid w:val="0"/>
        <w:spacing w:line="430" w:lineRule="exact"/>
        <w:ind w:firstLine="480" w:firstLineChars="20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（三）支付标准。</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支付费用包括患者全年血液透析的门诊治疗的治疗费用，不包含药费、放射费、化验费等。医院应在限额支付标准内收取血液透析的费用，其中三级医院相应限额内费用的70%，二级医院相应限额内费用的75%由新农合基金支付。</w:t>
      </w:r>
    </w:p>
    <w:p>
      <w:pPr>
        <w:pStyle w:val="5"/>
        <w:spacing w:line="430" w:lineRule="exact"/>
        <w:ind w:firstLine="0" w:firstLineChars="0"/>
        <w:jc w:val="center"/>
        <w:rPr>
          <w:rFonts w:hint="eastAsia" w:ascii="宋体" w:hAnsi="宋体"/>
          <w:sz w:val="24"/>
        </w:rPr>
      </w:pPr>
      <w:r>
        <w:rPr>
          <w:rFonts w:hint="eastAsia" w:ascii="宋体" w:hAnsi="宋体"/>
          <w:sz w:val="24"/>
        </w:rPr>
        <w:t>表11  尿毒症门诊治疗费用的</w:t>
      </w:r>
      <w:r>
        <w:rPr>
          <w:rFonts w:hint="eastAsia" w:ascii="宋体" w:hAnsi="宋体" w:cs="宋体"/>
          <w:bCs/>
          <w:kern w:val="0"/>
          <w:sz w:val="24"/>
        </w:rPr>
        <w:t>限额</w:t>
      </w:r>
      <w:r>
        <w:rPr>
          <w:rFonts w:hint="eastAsia" w:ascii="宋体" w:hAnsi="宋体"/>
          <w:sz w:val="24"/>
        </w:rPr>
        <w:t>支付标准</w:t>
      </w:r>
    </w:p>
    <w:tbl>
      <w:tblPr>
        <w:tblStyle w:val="4"/>
        <w:tblW w:w="7484" w:type="dxa"/>
        <w:jc w:val="center"/>
        <w:tblInd w:w="0" w:type="dxa"/>
        <w:tblLayout w:type="fixed"/>
        <w:tblCellMar>
          <w:top w:w="0" w:type="dxa"/>
          <w:left w:w="108" w:type="dxa"/>
          <w:bottom w:w="0" w:type="dxa"/>
          <w:right w:w="108" w:type="dxa"/>
        </w:tblCellMar>
      </w:tblPr>
      <w:tblGrid>
        <w:gridCol w:w="1871"/>
        <w:gridCol w:w="1871"/>
        <w:gridCol w:w="1871"/>
        <w:gridCol w:w="1871"/>
      </w:tblGrid>
      <w:tr>
        <w:tblPrEx>
          <w:tblLayout w:type="fixed"/>
          <w:tblCellMar>
            <w:top w:w="0" w:type="dxa"/>
            <w:left w:w="108" w:type="dxa"/>
            <w:bottom w:w="0" w:type="dxa"/>
            <w:right w:w="108" w:type="dxa"/>
          </w:tblCellMar>
        </w:tblPrEx>
        <w:trPr>
          <w:trHeight w:val="626" w:hRule="atLeast"/>
          <w:jc w:val="center"/>
        </w:trPr>
        <w:tc>
          <w:tcPr>
            <w:tcW w:w="3742"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三级医院（万元）</w:t>
            </w:r>
          </w:p>
        </w:tc>
        <w:tc>
          <w:tcPr>
            <w:tcW w:w="3742"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二级医院（万元）</w:t>
            </w:r>
          </w:p>
        </w:tc>
      </w:tr>
      <w:tr>
        <w:tblPrEx>
          <w:tblLayout w:type="fixed"/>
          <w:tblCellMar>
            <w:top w:w="0" w:type="dxa"/>
            <w:left w:w="108" w:type="dxa"/>
            <w:bottom w:w="0" w:type="dxa"/>
            <w:right w:w="108" w:type="dxa"/>
          </w:tblCellMar>
        </w:tblPrEx>
        <w:trPr>
          <w:trHeight w:val="368" w:hRule="atLeast"/>
          <w:jc w:val="center"/>
        </w:trPr>
        <w:tc>
          <w:tcPr>
            <w:tcW w:w="1871"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871"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871"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871"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r>
      <w:tr>
        <w:tblPrEx>
          <w:tblLayout w:type="fixed"/>
          <w:tblCellMar>
            <w:top w:w="0" w:type="dxa"/>
            <w:left w:w="108" w:type="dxa"/>
            <w:bottom w:w="0" w:type="dxa"/>
            <w:right w:w="108" w:type="dxa"/>
          </w:tblCellMar>
        </w:tblPrEx>
        <w:trPr>
          <w:trHeight w:val="545" w:hRule="atLeast"/>
          <w:jc w:val="center"/>
        </w:trPr>
        <w:tc>
          <w:tcPr>
            <w:tcW w:w="1871" w:type="dxa"/>
            <w:tcBorders>
              <w:top w:val="nil"/>
              <w:left w:val="nil"/>
              <w:bottom w:val="single" w:color="auto" w:sz="4" w:space="0"/>
              <w:right w:val="nil"/>
            </w:tcBorders>
            <w:vAlign w:val="center"/>
          </w:tcPr>
          <w:p>
            <w:pPr>
              <w:widowControl/>
              <w:spacing w:line="410" w:lineRule="exact"/>
              <w:jc w:val="center"/>
              <w:rPr>
                <w:rFonts w:ascii="宋体" w:hAnsi="宋体"/>
                <w:kern w:val="0"/>
                <w:szCs w:val="21"/>
              </w:rPr>
            </w:pPr>
            <w:r>
              <w:rPr>
                <w:rFonts w:ascii="宋体" w:hAnsi="宋体"/>
                <w:kern w:val="0"/>
                <w:szCs w:val="21"/>
              </w:rPr>
              <w:t>5.46</w:t>
            </w:r>
          </w:p>
        </w:tc>
        <w:tc>
          <w:tcPr>
            <w:tcW w:w="1871" w:type="dxa"/>
            <w:tcBorders>
              <w:top w:val="nil"/>
              <w:left w:val="nil"/>
              <w:bottom w:val="single" w:color="auto" w:sz="4" w:space="0"/>
              <w:right w:val="nil"/>
            </w:tcBorders>
            <w:vAlign w:val="center"/>
          </w:tcPr>
          <w:p>
            <w:pPr>
              <w:widowControl/>
              <w:spacing w:line="410" w:lineRule="exact"/>
              <w:ind w:firstLine="315" w:firstLineChars="150"/>
              <w:jc w:val="center"/>
              <w:rPr>
                <w:rFonts w:ascii="宋体" w:hAnsi="宋体"/>
                <w:kern w:val="0"/>
                <w:szCs w:val="21"/>
              </w:rPr>
            </w:pPr>
            <w:r>
              <w:rPr>
                <w:rFonts w:ascii="宋体" w:hAnsi="宋体"/>
                <w:kern w:val="0"/>
                <w:szCs w:val="21"/>
              </w:rPr>
              <w:t>3.82</w:t>
            </w:r>
          </w:p>
        </w:tc>
        <w:tc>
          <w:tcPr>
            <w:tcW w:w="1871" w:type="dxa"/>
            <w:tcBorders>
              <w:top w:val="nil"/>
              <w:left w:val="nil"/>
              <w:bottom w:val="single" w:color="auto" w:sz="4" w:space="0"/>
              <w:right w:val="nil"/>
            </w:tcBorders>
            <w:vAlign w:val="center"/>
          </w:tcPr>
          <w:p>
            <w:pPr>
              <w:widowControl/>
              <w:spacing w:line="410" w:lineRule="exact"/>
              <w:jc w:val="center"/>
              <w:rPr>
                <w:rFonts w:ascii="宋体" w:hAnsi="宋体"/>
                <w:kern w:val="0"/>
                <w:szCs w:val="21"/>
              </w:rPr>
            </w:pPr>
            <w:r>
              <w:rPr>
                <w:rFonts w:ascii="宋体" w:hAnsi="宋体"/>
                <w:kern w:val="0"/>
                <w:szCs w:val="21"/>
              </w:rPr>
              <w:t>4.55</w:t>
            </w:r>
          </w:p>
        </w:tc>
        <w:tc>
          <w:tcPr>
            <w:tcW w:w="1871" w:type="dxa"/>
            <w:tcBorders>
              <w:top w:val="nil"/>
              <w:left w:val="nil"/>
              <w:bottom w:val="single" w:color="auto" w:sz="4" w:space="0"/>
              <w:right w:val="nil"/>
            </w:tcBorders>
            <w:vAlign w:val="center"/>
          </w:tcPr>
          <w:p>
            <w:pPr>
              <w:widowControl/>
              <w:spacing w:line="410" w:lineRule="exact"/>
              <w:ind w:firstLine="210" w:firstLineChars="100"/>
              <w:jc w:val="center"/>
              <w:rPr>
                <w:rFonts w:ascii="宋体" w:hAnsi="宋体"/>
                <w:kern w:val="0"/>
                <w:szCs w:val="21"/>
              </w:rPr>
            </w:pPr>
            <w:r>
              <w:rPr>
                <w:rFonts w:ascii="宋体" w:hAnsi="宋体"/>
                <w:kern w:val="0"/>
                <w:szCs w:val="21"/>
              </w:rPr>
              <w:t>3.41</w:t>
            </w:r>
          </w:p>
        </w:tc>
      </w:tr>
    </w:tbl>
    <w:p>
      <w:pPr>
        <w:pStyle w:val="5"/>
        <w:adjustRightInd w:val="0"/>
        <w:snapToGrid w:val="0"/>
        <w:spacing w:line="430" w:lineRule="exact"/>
        <w:ind w:firstLine="480"/>
        <w:rPr>
          <w:rFonts w:hint="eastAsia" w:ascii="黑体" w:hAnsi="宋体" w:eastAsia="黑体"/>
          <w:snapToGrid w:val="0"/>
          <w:color w:val="000000"/>
          <w:kern w:val="0"/>
          <w:sz w:val="24"/>
        </w:rPr>
      </w:pPr>
      <w:r>
        <w:rPr>
          <w:rFonts w:hint="eastAsia" w:ascii="黑体" w:hAnsi="宋体" w:eastAsia="黑体"/>
          <w:snapToGrid w:val="0"/>
          <w:color w:val="000000"/>
          <w:kern w:val="0"/>
          <w:sz w:val="24"/>
        </w:rPr>
        <w:t>十二、血友病</w:t>
      </w:r>
    </w:p>
    <w:p>
      <w:pPr>
        <w:adjustRightInd w:val="0"/>
        <w:snapToGrid w:val="0"/>
        <w:spacing w:line="430" w:lineRule="exact"/>
        <w:ind w:firstLine="360" w:firstLineChars="15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以血友病</w:t>
      </w:r>
      <w:r>
        <w:rPr>
          <w:rFonts w:ascii="宋体" w:hAnsi="宋体"/>
          <w:snapToGrid w:val="0"/>
          <w:color w:val="000000"/>
          <w:kern w:val="0"/>
          <w:sz w:val="24"/>
        </w:rPr>
        <w:t>A</w:t>
      </w:r>
      <w:r>
        <w:rPr>
          <w:rFonts w:hint="eastAsia" w:ascii="宋体" w:hAnsi="宋体"/>
          <w:snapToGrid w:val="0"/>
          <w:color w:val="000000"/>
          <w:kern w:val="0"/>
          <w:sz w:val="24"/>
        </w:rPr>
        <w:t>（</w:t>
      </w:r>
      <w:r>
        <w:rPr>
          <w:rFonts w:ascii="宋体" w:hAnsi="宋体"/>
          <w:snapToGrid w:val="0"/>
          <w:color w:val="000000"/>
          <w:kern w:val="0"/>
          <w:sz w:val="24"/>
        </w:rPr>
        <w:t>ICD-10</w:t>
      </w:r>
      <w:r>
        <w:rPr>
          <w:rFonts w:hint="eastAsia" w:ascii="宋体" w:hAnsi="宋体"/>
          <w:snapToGrid w:val="0"/>
          <w:color w:val="000000"/>
          <w:kern w:val="0"/>
          <w:sz w:val="24"/>
        </w:rPr>
        <w:t>：</w:t>
      </w:r>
      <w:r>
        <w:rPr>
          <w:rFonts w:ascii="宋体" w:hAnsi="宋体"/>
          <w:snapToGrid w:val="0"/>
          <w:color w:val="000000"/>
          <w:kern w:val="0"/>
          <w:sz w:val="24"/>
        </w:rPr>
        <w:t>D66.x01</w:t>
      </w:r>
      <w:r>
        <w:rPr>
          <w:rFonts w:hint="eastAsia" w:ascii="宋体" w:hAnsi="宋体"/>
          <w:snapToGrid w:val="0"/>
          <w:color w:val="000000"/>
          <w:kern w:val="0"/>
          <w:sz w:val="24"/>
        </w:rPr>
        <w:t>）为第一诊断的患者，在定点医疗机构实施治疗发生的费用，纳入新农合重大疾病按病种付费范围。</w:t>
      </w:r>
    </w:p>
    <w:p>
      <w:pPr>
        <w:adjustRightInd w:val="0"/>
        <w:snapToGrid w:val="0"/>
        <w:spacing w:line="430" w:lineRule="exact"/>
        <w:ind w:firstLine="360" w:firstLineChars="15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根据《血液病诊断和疗效标准》、《临床诊疗指南-血液病学分册》对A型血友病患者进行治疗。首选血浆源性因子VIII制剂，在无条件使用血浆源性因子VIII制剂时，可选用其他治疗方法。</w:t>
      </w:r>
    </w:p>
    <w:p>
      <w:pPr>
        <w:adjustRightInd w:val="0"/>
        <w:snapToGrid w:val="0"/>
        <w:spacing w:line="430" w:lineRule="exact"/>
        <w:ind w:firstLine="360" w:firstLineChars="15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（三）支付标准。</w:t>
      </w:r>
    </w:p>
    <w:p>
      <w:pPr>
        <w:adjustRightInd w:val="0"/>
        <w:snapToGrid w:val="0"/>
        <w:spacing w:line="430" w:lineRule="exact"/>
        <w:ind w:firstLine="480" w:firstLineChars="200"/>
        <w:rPr>
          <w:rFonts w:ascii="宋体" w:hAnsi="宋体"/>
          <w:sz w:val="24"/>
        </w:rPr>
      </w:pPr>
      <w:r>
        <w:rPr>
          <w:rFonts w:hint="eastAsia" w:ascii="宋体" w:hAnsi="宋体"/>
          <w:snapToGrid w:val="0"/>
          <w:color w:val="000000"/>
          <w:kern w:val="0"/>
          <w:sz w:val="24"/>
        </w:rPr>
        <w:t>支付费用包括患者全年门诊治疗的费用。患者使用血浆源性因子VIII制剂，医院应在限额支付标准内收取门诊治疗的费用，限额内发生费用的70%由新农合基金支付。患者使用其他方法治疗发生的费用超过限额支付标准的部分，按新农合相关政策进行报销；不足限额支付标准的部分，据实报销。</w:t>
      </w:r>
    </w:p>
    <w:p>
      <w:pPr>
        <w:pStyle w:val="5"/>
        <w:spacing w:line="430" w:lineRule="exact"/>
        <w:ind w:firstLineChars="0"/>
        <w:jc w:val="center"/>
        <w:rPr>
          <w:rFonts w:ascii="宋体" w:hAnsi="宋体"/>
          <w:sz w:val="24"/>
        </w:rPr>
      </w:pPr>
      <w:r>
        <w:rPr>
          <w:rFonts w:hint="eastAsia" w:ascii="宋体" w:hAnsi="宋体"/>
          <w:sz w:val="24"/>
        </w:rPr>
        <w:t>表12 血友病门诊治疗费用的限额支付标准</w:t>
      </w:r>
    </w:p>
    <w:tbl>
      <w:tblPr>
        <w:tblStyle w:val="4"/>
        <w:tblW w:w="6464"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232"/>
        <w:gridCol w:w="323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40" w:hRule="atLeast"/>
          <w:jc w:val="center"/>
        </w:trPr>
        <w:tc>
          <w:tcPr>
            <w:tcW w:w="6464" w:type="dxa"/>
            <w:gridSpan w:val="2"/>
            <w:tcBorders>
              <w:bottom w:val="single" w:color="auto" w:sz="4" w:space="0"/>
            </w:tcBorders>
            <w:vAlign w:val="center"/>
          </w:tcPr>
          <w:p>
            <w:pPr>
              <w:spacing w:line="410" w:lineRule="exact"/>
              <w:jc w:val="center"/>
              <w:rPr>
                <w:rFonts w:ascii="宋体" w:hAnsi="宋体"/>
                <w:b/>
                <w:bCs/>
                <w:szCs w:val="21"/>
              </w:rPr>
            </w:pPr>
            <w:r>
              <w:rPr>
                <w:rFonts w:hint="eastAsia" w:ascii="宋体" w:hAnsi="宋体"/>
                <w:b/>
                <w:bCs/>
                <w:szCs w:val="21"/>
              </w:rPr>
              <w:t>三级医院（万元）</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54" w:hRule="atLeast"/>
          <w:jc w:val="center"/>
        </w:trPr>
        <w:tc>
          <w:tcPr>
            <w:tcW w:w="3232" w:type="dxa"/>
            <w:tcBorders>
              <w:bottom w:val="nil"/>
            </w:tcBorders>
            <w:vAlign w:val="center"/>
          </w:tcPr>
          <w:p>
            <w:pPr>
              <w:spacing w:line="410" w:lineRule="exact"/>
              <w:jc w:val="center"/>
              <w:rPr>
                <w:rFonts w:ascii="宋体" w:hAnsi="宋体"/>
                <w:b/>
                <w:szCs w:val="21"/>
              </w:rPr>
            </w:pPr>
            <w:r>
              <w:rPr>
                <w:rFonts w:hint="eastAsia" w:ascii="宋体" w:hAnsi="宋体"/>
                <w:b/>
                <w:szCs w:val="21"/>
              </w:rPr>
              <w:t xml:space="preserve">           支付标准</w:t>
            </w:r>
          </w:p>
        </w:tc>
        <w:tc>
          <w:tcPr>
            <w:tcW w:w="3232" w:type="dxa"/>
            <w:tcBorders>
              <w:bottom w:val="nil"/>
            </w:tcBorders>
            <w:vAlign w:val="center"/>
          </w:tcPr>
          <w:p>
            <w:pPr>
              <w:spacing w:line="410" w:lineRule="exact"/>
              <w:ind w:firstLine="1033" w:firstLineChars="490"/>
              <w:rPr>
                <w:rFonts w:ascii="宋体" w:hAnsi="宋体"/>
                <w:b/>
                <w:szCs w:val="21"/>
              </w:rPr>
            </w:pPr>
            <w:r>
              <w:rPr>
                <w:rFonts w:hint="eastAsia" w:ascii="宋体" w:hAnsi="宋体"/>
                <w:b/>
                <w:szCs w:val="21"/>
              </w:rPr>
              <w:t>新农合支付</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08" w:hRule="atLeast"/>
          <w:jc w:val="center"/>
        </w:trPr>
        <w:tc>
          <w:tcPr>
            <w:tcW w:w="3232" w:type="dxa"/>
            <w:tcBorders>
              <w:top w:val="nil"/>
            </w:tcBorders>
            <w:vAlign w:val="center"/>
          </w:tcPr>
          <w:p>
            <w:pPr>
              <w:spacing w:line="410" w:lineRule="exact"/>
              <w:jc w:val="center"/>
              <w:rPr>
                <w:rFonts w:ascii="宋体" w:hAnsi="宋体"/>
                <w:szCs w:val="21"/>
              </w:rPr>
            </w:pPr>
            <w:r>
              <w:rPr>
                <w:rFonts w:hint="eastAsia" w:ascii="宋体" w:hAnsi="宋体"/>
                <w:szCs w:val="21"/>
              </w:rPr>
              <w:t xml:space="preserve">           </w:t>
            </w:r>
            <w:r>
              <w:rPr>
                <w:rFonts w:ascii="宋体" w:hAnsi="宋体"/>
                <w:szCs w:val="21"/>
              </w:rPr>
              <w:t>3.36</w:t>
            </w:r>
          </w:p>
        </w:tc>
        <w:tc>
          <w:tcPr>
            <w:tcW w:w="3232" w:type="dxa"/>
            <w:tcBorders>
              <w:top w:val="nil"/>
            </w:tcBorders>
            <w:vAlign w:val="center"/>
          </w:tcPr>
          <w:p>
            <w:pPr>
              <w:spacing w:line="410" w:lineRule="exact"/>
              <w:ind w:firstLine="1365" w:firstLineChars="650"/>
              <w:rPr>
                <w:rFonts w:ascii="宋体" w:hAnsi="宋体"/>
                <w:szCs w:val="21"/>
              </w:rPr>
            </w:pPr>
            <w:r>
              <w:rPr>
                <w:rFonts w:ascii="宋体" w:hAnsi="宋体"/>
                <w:szCs w:val="21"/>
              </w:rPr>
              <w:t>2.35</w:t>
            </w:r>
          </w:p>
        </w:tc>
      </w:tr>
    </w:tbl>
    <w:p>
      <w:pPr>
        <w:pStyle w:val="5"/>
        <w:adjustRightInd w:val="0"/>
        <w:snapToGrid w:val="0"/>
        <w:spacing w:line="430" w:lineRule="exact"/>
        <w:ind w:firstLine="482"/>
        <w:rPr>
          <w:rFonts w:hint="eastAsia" w:ascii="黑体" w:hAnsi="宋体" w:eastAsia="黑体"/>
          <w:b/>
          <w:bCs/>
          <w:snapToGrid w:val="0"/>
          <w:color w:val="000000"/>
          <w:kern w:val="0"/>
          <w:sz w:val="24"/>
        </w:rPr>
      </w:pPr>
      <w:r>
        <w:rPr>
          <w:rFonts w:hint="eastAsia" w:ascii="黑体" w:hAnsi="宋体" w:eastAsia="黑体"/>
          <w:b/>
          <w:bCs/>
          <w:snapToGrid w:val="0"/>
          <w:color w:val="000000"/>
          <w:kern w:val="0"/>
          <w:sz w:val="24"/>
        </w:rPr>
        <w:t>十三、重性精神病</w:t>
      </w:r>
    </w:p>
    <w:p>
      <w:pPr>
        <w:adjustRightInd w:val="0"/>
        <w:snapToGrid w:val="0"/>
        <w:spacing w:line="430" w:lineRule="exact"/>
        <w:ind w:firstLine="482" w:firstLineChars="200"/>
        <w:rPr>
          <w:rFonts w:ascii="宋体" w:hAnsi="宋体"/>
          <w:b/>
          <w:bCs/>
          <w:snapToGrid w:val="0"/>
          <w:color w:val="000000"/>
          <w:kern w:val="0"/>
          <w:sz w:val="24"/>
        </w:rPr>
      </w:pPr>
      <w:r>
        <w:rPr>
          <w:rFonts w:hint="eastAsia" w:ascii="宋体" w:hAnsi="宋体"/>
          <w:b/>
          <w:bCs/>
          <w:snapToGrid w:val="0"/>
          <w:color w:val="000000"/>
          <w:kern w:val="0"/>
          <w:sz w:val="24"/>
        </w:rPr>
        <w:t>（一）适用对象。</w:t>
      </w:r>
    </w:p>
    <w:p>
      <w:pPr>
        <w:adjustRightInd w:val="0"/>
        <w:snapToGrid w:val="0"/>
        <w:spacing w:line="430" w:lineRule="exact"/>
        <w:ind w:firstLine="482" w:firstLineChars="200"/>
        <w:rPr>
          <w:rFonts w:ascii="宋体" w:hAnsi="宋体"/>
          <w:b/>
          <w:bCs/>
          <w:snapToGrid w:val="0"/>
          <w:color w:val="000000"/>
          <w:kern w:val="0"/>
          <w:sz w:val="24"/>
        </w:rPr>
      </w:pPr>
      <w:r>
        <w:rPr>
          <w:rFonts w:hint="eastAsia" w:ascii="宋体" w:hAnsi="宋体"/>
          <w:b/>
          <w:bCs/>
          <w:snapToGrid w:val="0"/>
          <w:color w:val="000000"/>
          <w:kern w:val="0"/>
          <w:sz w:val="24"/>
        </w:rPr>
        <w:t>以精神分裂症、分裂情感障碍、偏执性精神病、双相（情感）障碍、癫痫所致精神障碍、精神发育迟滞为第一诊断的患者，在定点医疗机构实施治疗发生的费用，纳入新农合重大疾病按病种付费范围。</w:t>
      </w:r>
    </w:p>
    <w:p>
      <w:pPr>
        <w:adjustRightInd w:val="0"/>
        <w:snapToGrid w:val="0"/>
        <w:spacing w:line="430" w:lineRule="exact"/>
        <w:ind w:firstLine="482" w:firstLineChars="200"/>
        <w:rPr>
          <w:rFonts w:ascii="宋体" w:hAnsi="宋体"/>
          <w:b/>
          <w:bCs/>
          <w:snapToGrid w:val="0"/>
          <w:color w:val="000000"/>
          <w:kern w:val="0"/>
          <w:sz w:val="24"/>
        </w:rPr>
      </w:pPr>
      <w:r>
        <w:rPr>
          <w:rFonts w:hint="eastAsia" w:ascii="宋体" w:hAnsi="宋体"/>
          <w:b/>
          <w:bCs/>
          <w:snapToGrid w:val="0"/>
          <w:color w:val="000000"/>
          <w:kern w:val="0"/>
          <w:sz w:val="24"/>
        </w:rPr>
        <w:t>（二）支付条件。</w:t>
      </w:r>
    </w:p>
    <w:p>
      <w:pPr>
        <w:adjustRightInd w:val="0"/>
        <w:snapToGrid w:val="0"/>
        <w:spacing w:line="430" w:lineRule="exact"/>
        <w:ind w:firstLine="482" w:firstLineChars="200"/>
        <w:rPr>
          <w:rFonts w:hint="eastAsia" w:ascii="宋体" w:hAnsi="宋体"/>
          <w:b/>
          <w:bCs/>
          <w:snapToGrid w:val="0"/>
          <w:color w:val="000000"/>
          <w:kern w:val="0"/>
          <w:sz w:val="24"/>
        </w:rPr>
      </w:pPr>
      <w:r>
        <w:rPr>
          <w:rFonts w:hint="eastAsia" w:ascii="宋体" w:hAnsi="宋体"/>
          <w:b/>
          <w:bCs/>
          <w:snapToGrid w:val="0"/>
          <w:color w:val="000000"/>
          <w:kern w:val="0"/>
          <w:sz w:val="24"/>
        </w:rPr>
        <w:t>治疗过程需按照《卫生部办公厅关于印发双相情感障碍等5个重性精神病病种临床路径的通知》（卫办医政发</w:t>
      </w:r>
      <w:r>
        <w:rPr>
          <w:rFonts w:hint="eastAsia" w:ascii="宋体" w:hAnsi="宋体"/>
          <w:b/>
          <w:bCs/>
          <w:sz w:val="24"/>
        </w:rPr>
        <w:t>〔2012〕</w:t>
      </w:r>
      <w:r>
        <w:rPr>
          <w:rFonts w:hint="eastAsia" w:ascii="宋体" w:hAnsi="宋体"/>
          <w:b/>
          <w:bCs/>
          <w:snapToGrid w:val="0"/>
          <w:color w:val="000000"/>
          <w:kern w:val="0"/>
          <w:sz w:val="24"/>
        </w:rPr>
        <w:t>106号）执行，方可实行按病种付费。</w:t>
      </w:r>
    </w:p>
    <w:p>
      <w:pPr>
        <w:adjustRightInd w:val="0"/>
        <w:snapToGrid w:val="0"/>
        <w:spacing w:line="430" w:lineRule="exact"/>
        <w:ind w:firstLine="482" w:firstLineChars="200"/>
        <w:rPr>
          <w:rFonts w:ascii="宋体" w:hAnsi="宋体"/>
          <w:b/>
          <w:bCs/>
          <w:snapToGrid w:val="0"/>
          <w:color w:val="000000"/>
          <w:kern w:val="0"/>
          <w:sz w:val="24"/>
        </w:rPr>
      </w:pPr>
      <w:r>
        <w:rPr>
          <w:rFonts w:hint="eastAsia" w:ascii="宋体" w:hAnsi="宋体"/>
          <w:b/>
          <w:bCs/>
          <w:snapToGrid w:val="0"/>
          <w:color w:val="000000"/>
          <w:kern w:val="0"/>
          <w:sz w:val="24"/>
        </w:rPr>
        <w:t>（三）支付标准。</w:t>
      </w:r>
    </w:p>
    <w:p>
      <w:pPr>
        <w:adjustRightInd w:val="0"/>
        <w:snapToGrid w:val="0"/>
        <w:spacing w:line="430" w:lineRule="exact"/>
        <w:ind w:firstLine="482" w:firstLineChars="200"/>
        <w:rPr>
          <w:rFonts w:hint="eastAsia" w:ascii="宋体" w:hAnsi="宋体"/>
          <w:b/>
          <w:bCs/>
          <w:sz w:val="24"/>
        </w:rPr>
      </w:pPr>
      <w:r>
        <w:rPr>
          <w:rFonts w:hint="eastAsia" w:ascii="宋体" w:hAnsi="宋体"/>
          <w:b/>
          <w:bCs/>
          <w:snapToGrid w:val="0"/>
          <w:color w:val="000000"/>
          <w:kern w:val="0"/>
          <w:sz w:val="24"/>
        </w:rPr>
        <w:t>支付费用包括患者每次住院期间和全年门诊治疗的费用，对住院患者采取限额支付标准，限额标准内费用的70%（三级医院）或75%（二级医院）由新农合基金支付；门诊费用最高限额为3000元，限额标准内费用的70%由新农合基金支付。</w:t>
      </w:r>
      <w:r>
        <w:rPr>
          <w:rFonts w:ascii="宋体" w:hAnsi="宋体"/>
          <w:b/>
          <w:bCs/>
          <w:snapToGrid w:val="0"/>
          <w:color w:val="000000"/>
          <w:kern w:val="0"/>
          <w:sz w:val="24"/>
        </w:rPr>
        <w:t xml:space="preserve"> </w:t>
      </w:r>
    </w:p>
    <w:p>
      <w:pPr>
        <w:pStyle w:val="5"/>
        <w:spacing w:line="430" w:lineRule="exact"/>
        <w:ind w:firstLine="0" w:firstLineChars="0"/>
        <w:jc w:val="center"/>
        <w:rPr>
          <w:rFonts w:hint="eastAsia" w:ascii="宋体" w:hAnsi="宋体"/>
          <w:sz w:val="24"/>
        </w:rPr>
      </w:pPr>
      <w:r>
        <w:rPr>
          <w:rFonts w:hint="eastAsia" w:ascii="宋体" w:hAnsi="宋体"/>
          <w:sz w:val="24"/>
        </w:rPr>
        <w:t>表13 重性精神病住院治疗费用的限额支付标准</w:t>
      </w:r>
    </w:p>
    <w:tbl>
      <w:tblPr>
        <w:tblStyle w:val="4"/>
        <w:tblW w:w="7484" w:type="dxa"/>
        <w:jc w:val="center"/>
        <w:tblInd w:w="0" w:type="dxa"/>
        <w:tblLayout w:type="fixed"/>
        <w:tblCellMar>
          <w:top w:w="0" w:type="dxa"/>
          <w:left w:w="28" w:type="dxa"/>
          <w:bottom w:w="0" w:type="dxa"/>
          <w:right w:w="28" w:type="dxa"/>
        </w:tblCellMar>
      </w:tblPr>
      <w:tblGrid>
        <w:gridCol w:w="1336"/>
        <w:gridCol w:w="1336"/>
        <w:gridCol w:w="1203"/>
        <w:gridCol w:w="1203"/>
        <w:gridCol w:w="1203"/>
        <w:gridCol w:w="1203"/>
      </w:tblGrid>
      <w:tr>
        <w:tblPrEx>
          <w:tblLayout w:type="fixed"/>
          <w:tblCellMar>
            <w:top w:w="0" w:type="dxa"/>
            <w:left w:w="28" w:type="dxa"/>
            <w:bottom w:w="0" w:type="dxa"/>
            <w:right w:w="28" w:type="dxa"/>
          </w:tblCellMar>
        </w:tblPrEx>
        <w:trPr>
          <w:trHeight w:val="450" w:hRule="atLeast"/>
          <w:jc w:val="center"/>
        </w:trPr>
        <w:tc>
          <w:tcPr>
            <w:tcW w:w="2672" w:type="dxa"/>
            <w:gridSpan w:val="2"/>
            <w:tcBorders>
              <w:top w:val="single" w:color="auto" w:sz="4" w:space="0"/>
              <w:left w:val="nil"/>
              <w:bottom w:val="single" w:color="auto" w:sz="4" w:space="0"/>
              <w:right w:val="nil"/>
            </w:tcBorders>
            <w:vAlign w:val="center"/>
          </w:tcPr>
          <w:p>
            <w:pPr>
              <w:widowControl/>
              <w:spacing w:line="410" w:lineRule="exact"/>
              <w:rPr>
                <w:rFonts w:ascii="宋体" w:hAnsi="宋体" w:cs="宋体"/>
                <w:b/>
                <w:bCs/>
                <w:kern w:val="0"/>
                <w:szCs w:val="21"/>
              </w:rPr>
            </w:pPr>
            <w:r>
              <w:rPr>
                <w:rFonts w:hint="eastAsia" w:ascii="宋体" w:hAnsi="宋体" w:cs="宋体"/>
                <w:b/>
                <w:bCs/>
                <w:kern w:val="0"/>
                <w:szCs w:val="21"/>
              </w:rPr>
              <w:t>省级定点救治医院（万元）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三级医院（万元）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 xml:space="preserve"> 二级医院（万元）</w:t>
            </w:r>
          </w:p>
        </w:tc>
      </w:tr>
      <w:tr>
        <w:tblPrEx>
          <w:tblLayout w:type="fixed"/>
        </w:tblPrEx>
        <w:trPr>
          <w:trHeight w:val="451" w:hRule="atLeast"/>
          <w:jc w:val="center"/>
        </w:trPr>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single" w:color="auto" w:sz="4" w:space="0"/>
              <w:right w:val="nil"/>
            </w:tcBorders>
            <w:vAlign w:val="center"/>
          </w:tcPr>
          <w:p>
            <w:pPr>
              <w:widowControl/>
              <w:spacing w:line="410" w:lineRule="exact"/>
              <w:jc w:val="center"/>
              <w:rPr>
                <w:rFonts w:hint="eastAsia" w:ascii="宋体" w:hAnsi="宋体"/>
                <w:kern w:val="0"/>
                <w:szCs w:val="21"/>
              </w:rPr>
            </w:pPr>
            <w:r>
              <w:rPr>
                <w:rFonts w:hint="eastAsia" w:ascii="宋体" w:hAnsi="宋体"/>
                <w:kern w:val="0"/>
                <w:szCs w:val="21"/>
              </w:rPr>
              <w:t>0.53</w:t>
            </w:r>
          </w:p>
        </w:tc>
        <w:tc>
          <w:tcPr>
            <w:tcW w:w="1336" w:type="dxa"/>
            <w:tcBorders>
              <w:top w:val="nil"/>
              <w:left w:val="nil"/>
              <w:bottom w:val="single" w:color="auto" w:sz="4" w:space="0"/>
              <w:right w:val="nil"/>
            </w:tcBorders>
            <w:vAlign w:val="center"/>
          </w:tcPr>
          <w:p>
            <w:pPr>
              <w:widowControl/>
              <w:spacing w:line="410" w:lineRule="exact"/>
              <w:jc w:val="center"/>
              <w:rPr>
                <w:rFonts w:hint="eastAsia" w:ascii="宋体" w:hAnsi="宋体"/>
                <w:kern w:val="0"/>
                <w:szCs w:val="21"/>
              </w:rPr>
            </w:pPr>
            <w:r>
              <w:rPr>
                <w:rFonts w:hint="eastAsia" w:ascii="宋体" w:hAnsi="宋体"/>
                <w:kern w:val="0"/>
                <w:szCs w:val="21"/>
              </w:rPr>
              <w:t>0.37</w:t>
            </w:r>
          </w:p>
        </w:tc>
        <w:tc>
          <w:tcPr>
            <w:tcW w:w="1203" w:type="dxa"/>
            <w:tcBorders>
              <w:top w:val="nil"/>
              <w:left w:val="nil"/>
              <w:bottom w:val="single" w:color="auto" w:sz="4" w:space="0"/>
              <w:right w:val="nil"/>
            </w:tcBorders>
            <w:vAlign w:val="center"/>
          </w:tcPr>
          <w:p>
            <w:pPr>
              <w:widowControl/>
              <w:spacing w:line="410" w:lineRule="exact"/>
              <w:jc w:val="center"/>
              <w:rPr>
                <w:rFonts w:hint="eastAsia" w:ascii="宋体" w:hAnsi="宋体"/>
                <w:kern w:val="0"/>
                <w:szCs w:val="21"/>
              </w:rPr>
            </w:pPr>
            <w:r>
              <w:rPr>
                <w:rFonts w:hint="eastAsia" w:ascii="宋体" w:hAnsi="宋体"/>
                <w:kern w:val="0"/>
                <w:szCs w:val="21"/>
              </w:rPr>
              <w:t>0.5</w:t>
            </w:r>
          </w:p>
        </w:tc>
        <w:tc>
          <w:tcPr>
            <w:tcW w:w="1203" w:type="dxa"/>
            <w:tcBorders>
              <w:top w:val="nil"/>
              <w:left w:val="nil"/>
              <w:bottom w:val="single" w:color="auto" w:sz="4" w:space="0"/>
              <w:right w:val="nil"/>
            </w:tcBorders>
            <w:vAlign w:val="center"/>
          </w:tcPr>
          <w:p>
            <w:pPr>
              <w:widowControl/>
              <w:spacing w:line="410" w:lineRule="exact"/>
              <w:jc w:val="center"/>
              <w:rPr>
                <w:rFonts w:hint="eastAsia" w:ascii="宋体" w:hAnsi="宋体"/>
                <w:kern w:val="0"/>
                <w:szCs w:val="21"/>
              </w:rPr>
            </w:pPr>
            <w:r>
              <w:rPr>
                <w:rFonts w:hint="eastAsia" w:ascii="宋体" w:hAnsi="宋体"/>
                <w:kern w:val="0"/>
                <w:szCs w:val="21"/>
              </w:rPr>
              <w:t>0.35</w:t>
            </w:r>
          </w:p>
        </w:tc>
        <w:tc>
          <w:tcPr>
            <w:tcW w:w="1203" w:type="dxa"/>
            <w:tcBorders>
              <w:top w:val="nil"/>
              <w:left w:val="nil"/>
              <w:bottom w:val="single" w:color="auto" w:sz="4" w:space="0"/>
              <w:right w:val="nil"/>
            </w:tcBorders>
            <w:vAlign w:val="center"/>
          </w:tcPr>
          <w:p>
            <w:pPr>
              <w:widowControl/>
              <w:spacing w:line="410" w:lineRule="exact"/>
              <w:jc w:val="center"/>
              <w:rPr>
                <w:rFonts w:hint="eastAsia" w:ascii="宋体" w:hAnsi="宋体"/>
                <w:kern w:val="0"/>
                <w:szCs w:val="21"/>
              </w:rPr>
            </w:pPr>
            <w:r>
              <w:rPr>
                <w:rFonts w:hint="eastAsia" w:ascii="宋体" w:hAnsi="宋体"/>
                <w:kern w:val="0"/>
                <w:szCs w:val="21"/>
              </w:rPr>
              <w:t>0.4</w:t>
            </w:r>
          </w:p>
        </w:tc>
        <w:tc>
          <w:tcPr>
            <w:tcW w:w="1203" w:type="dxa"/>
            <w:tcBorders>
              <w:top w:val="nil"/>
              <w:left w:val="nil"/>
              <w:bottom w:val="single" w:color="auto" w:sz="4" w:space="0"/>
              <w:right w:val="nil"/>
            </w:tcBorders>
            <w:vAlign w:val="center"/>
          </w:tcPr>
          <w:p>
            <w:pPr>
              <w:widowControl/>
              <w:spacing w:line="410" w:lineRule="exact"/>
              <w:jc w:val="center"/>
              <w:rPr>
                <w:rFonts w:hint="eastAsia" w:ascii="宋体" w:hAnsi="宋体"/>
                <w:kern w:val="0"/>
                <w:szCs w:val="21"/>
              </w:rPr>
            </w:pPr>
            <w:r>
              <w:rPr>
                <w:rFonts w:hint="eastAsia" w:ascii="宋体" w:hAnsi="宋体"/>
                <w:kern w:val="0"/>
                <w:szCs w:val="21"/>
              </w:rPr>
              <w:t>0.3</w:t>
            </w:r>
          </w:p>
        </w:tc>
      </w:tr>
    </w:tbl>
    <w:p>
      <w:pPr>
        <w:pStyle w:val="5"/>
        <w:adjustRightInd w:val="0"/>
        <w:snapToGrid w:val="0"/>
        <w:spacing w:line="430" w:lineRule="exact"/>
        <w:ind w:firstLine="480"/>
        <w:rPr>
          <w:rFonts w:hint="eastAsia" w:ascii="方正黑体简体" w:hAnsi="宋体" w:eastAsia="方正黑体简体"/>
          <w:snapToGrid w:val="0"/>
          <w:color w:val="000000"/>
          <w:kern w:val="0"/>
          <w:sz w:val="24"/>
        </w:rPr>
      </w:pPr>
      <w:r>
        <w:rPr>
          <w:rFonts w:hint="eastAsia" w:ascii="方正黑体简体" w:hAnsi="宋体" w:eastAsia="方正黑体简体"/>
          <w:snapToGrid w:val="0"/>
          <w:color w:val="000000"/>
          <w:kern w:val="0"/>
          <w:sz w:val="24"/>
        </w:rPr>
        <w:t>十四、</w:t>
      </w:r>
      <w:r>
        <w:rPr>
          <w:rFonts w:hint="eastAsia" w:ascii="宋体" w:hAnsi="宋体"/>
          <w:b/>
          <w:snapToGrid w:val="0"/>
          <w:color w:val="000000"/>
          <w:kern w:val="0"/>
          <w:sz w:val="24"/>
        </w:rPr>
        <w:t>I</w:t>
      </w:r>
      <w:r>
        <w:rPr>
          <w:rFonts w:hint="eastAsia" w:ascii="方正黑体简体" w:hAnsi="宋体" w:eastAsia="方正黑体简体"/>
          <w:snapToGrid w:val="0"/>
          <w:color w:val="000000"/>
          <w:kern w:val="0"/>
          <w:sz w:val="24"/>
        </w:rPr>
        <w:t>型糖尿病</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adjustRightInd w:val="0"/>
        <w:snapToGrid w:val="0"/>
        <w:spacing w:line="430" w:lineRule="exact"/>
        <w:ind w:firstLine="480" w:firstLineChars="200"/>
        <w:rPr>
          <w:rFonts w:ascii="宋体" w:hAnsi="宋体"/>
          <w:bCs/>
          <w:snapToGrid w:val="0"/>
          <w:color w:val="000000"/>
          <w:kern w:val="0"/>
          <w:sz w:val="24"/>
        </w:rPr>
      </w:pPr>
      <w:r>
        <w:rPr>
          <w:rFonts w:hint="eastAsia" w:ascii="宋体" w:hAnsi="宋体"/>
          <w:snapToGrid w:val="0"/>
          <w:color w:val="000000"/>
          <w:kern w:val="0"/>
          <w:sz w:val="24"/>
        </w:rPr>
        <w:t>以I</w:t>
      </w:r>
      <w:r>
        <w:rPr>
          <w:rFonts w:hint="eastAsia" w:ascii="宋体" w:hAnsi="宋体"/>
          <w:bCs/>
          <w:snapToGrid w:val="0"/>
          <w:color w:val="000000"/>
          <w:kern w:val="0"/>
          <w:sz w:val="24"/>
        </w:rPr>
        <w:t>型糖尿病（不伴急性并发症）</w:t>
      </w:r>
      <w:r>
        <w:rPr>
          <w:rFonts w:hint="eastAsia" w:ascii="宋体" w:hAnsi="宋体"/>
          <w:snapToGrid w:val="0"/>
          <w:color w:val="000000"/>
          <w:kern w:val="0"/>
          <w:sz w:val="24"/>
        </w:rPr>
        <w:t>（ICD-10：E10.2-E10.9）为第一诊断的患者，在定点医疗机构住院期间发生的费用，纳入新农合重大疾病按病种付费范围。</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pStyle w:val="5"/>
        <w:adjustRightInd w:val="0"/>
        <w:snapToGrid w:val="0"/>
        <w:spacing w:line="430" w:lineRule="exact"/>
        <w:ind w:firstLine="480"/>
        <w:rPr>
          <w:rFonts w:ascii="宋体" w:hAnsi="宋体"/>
          <w:snapToGrid w:val="0"/>
          <w:color w:val="000000"/>
          <w:kern w:val="0"/>
          <w:sz w:val="24"/>
        </w:rPr>
      </w:pPr>
      <w:r>
        <w:rPr>
          <w:rFonts w:hint="eastAsia" w:ascii="宋体" w:hAnsi="宋体"/>
          <w:snapToGrid w:val="0"/>
          <w:color w:val="000000"/>
          <w:kern w:val="0"/>
          <w:sz w:val="24"/>
        </w:rPr>
        <w:t>治疗过程需严格按照《I型糖尿病临床路径（2009年版）》执行，方可实行按病种付费。</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（三）支付标准。</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支付费用包括患者每次住院期间和全年门诊治疗的费用，对住院患者采取限额支付标准，限额标准内费用的70%（三级医院）或75%（二级医院）由新农合基金支付；门诊费用最高限额为3000元，限额标准内费用的70%由新农合基金支付。</w:t>
      </w:r>
      <w:r>
        <w:rPr>
          <w:rFonts w:ascii="宋体" w:hAnsi="宋体"/>
          <w:snapToGrid w:val="0"/>
          <w:color w:val="000000"/>
          <w:kern w:val="0"/>
          <w:sz w:val="24"/>
        </w:rPr>
        <w:t xml:space="preserve"> </w:t>
      </w:r>
    </w:p>
    <w:p>
      <w:pPr>
        <w:pStyle w:val="5"/>
        <w:spacing w:line="430" w:lineRule="exact"/>
        <w:ind w:firstLineChars="0"/>
        <w:jc w:val="center"/>
        <w:rPr>
          <w:rFonts w:hint="eastAsia" w:ascii="宋体" w:hAnsi="宋体"/>
          <w:sz w:val="24"/>
        </w:rPr>
      </w:pPr>
      <w:r>
        <w:rPr>
          <w:rFonts w:hint="eastAsia" w:ascii="宋体" w:hAnsi="宋体"/>
          <w:sz w:val="24"/>
        </w:rPr>
        <w:t>表14  I型糖尿病住院治疗费用的限额支付标准</w:t>
      </w:r>
    </w:p>
    <w:tbl>
      <w:tblPr>
        <w:tblStyle w:val="4"/>
        <w:tblW w:w="6464"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6"/>
        <w:gridCol w:w="1616"/>
        <w:gridCol w:w="1616"/>
        <w:gridCol w:w="161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 w:hRule="atLeast"/>
          <w:jc w:val="center"/>
        </w:trPr>
        <w:tc>
          <w:tcPr>
            <w:tcW w:w="3232" w:type="dxa"/>
            <w:gridSpan w:val="2"/>
            <w:tcBorders>
              <w:top w:val="single" w:color="auto" w:sz="4" w:space="0"/>
              <w:bottom w:val="single" w:color="auto" w:sz="4" w:space="0"/>
            </w:tcBorders>
            <w:vAlign w:val="center"/>
          </w:tcPr>
          <w:p>
            <w:pPr>
              <w:spacing w:line="410" w:lineRule="exact"/>
              <w:ind w:firstLine="1136" w:firstLineChars="539"/>
              <w:rPr>
                <w:rFonts w:ascii="宋体" w:hAnsi="宋体"/>
                <w:b/>
                <w:bCs/>
                <w:szCs w:val="21"/>
              </w:rPr>
            </w:pPr>
            <w:r>
              <w:rPr>
                <w:rFonts w:hint="eastAsia" w:ascii="宋体" w:hAnsi="宋体"/>
                <w:b/>
                <w:bCs/>
                <w:szCs w:val="21"/>
              </w:rPr>
              <w:t>三级医院（万元）</w:t>
            </w:r>
          </w:p>
        </w:tc>
        <w:tc>
          <w:tcPr>
            <w:tcW w:w="3232" w:type="dxa"/>
            <w:gridSpan w:val="2"/>
            <w:tcBorders>
              <w:top w:val="single" w:color="auto" w:sz="4" w:space="0"/>
              <w:bottom w:val="single" w:color="auto" w:sz="4" w:space="0"/>
            </w:tcBorders>
            <w:vAlign w:val="center"/>
          </w:tcPr>
          <w:p>
            <w:pPr>
              <w:spacing w:line="410" w:lineRule="exact"/>
              <w:jc w:val="center"/>
              <w:rPr>
                <w:rFonts w:ascii="宋体" w:hAnsi="宋体"/>
                <w:b/>
                <w:bCs/>
                <w:szCs w:val="21"/>
              </w:rPr>
            </w:pPr>
            <w:r>
              <w:rPr>
                <w:rFonts w:hint="eastAsia" w:ascii="宋体" w:hAnsi="宋体"/>
                <w:b/>
                <w:bCs/>
                <w:szCs w:val="21"/>
              </w:rPr>
              <w:t>二级医院（万元）</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jc w:val="center"/>
        </w:trPr>
        <w:tc>
          <w:tcPr>
            <w:tcW w:w="1616" w:type="dxa"/>
            <w:tcBorders>
              <w:top w:val="single" w:color="auto" w:sz="4" w:space="0"/>
              <w:bottom w:val="nil"/>
            </w:tcBorders>
            <w:vAlign w:val="center"/>
          </w:tcPr>
          <w:p>
            <w:pPr>
              <w:spacing w:line="410" w:lineRule="exact"/>
              <w:jc w:val="center"/>
              <w:rPr>
                <w:rFonts w:ascii="宋体" w:hAnsi="宋体"/>
                <w:b/>
                <w:szCs w:val="21"/>
              </w:rPr>
            </w:pPr>
            <w:r>
              <w:rPr>
                <w:rFonts w:hint="eastAsia" w:ascii="宋体" w:hAnsi="宋体"/>
                <w:b/>
                <w:szCs w:val="21"/>
              </w:rPr>
              <w:t>支付标准</w:t>
            </w:r>
          </w:p>
        </w:tc>
        <w:tc>
          <w:tcPr>
            <w:tcW w:w="1616" w:type="dxa"/>
            <w:tcBorders>
              <w:top w:val="single" w:color="auto" w:sz="4" w:space="0"/>
              <w:bottom w:val="nil"/>
            </w:tcBorders>
            <w:vAlign w:val="center"/>
          </w:tcPr>
          <w:p>
            <w:pPr>
              <w:spacing w:line="410" w:lineRule="exact"/>
              <w:jc w:val="center"/>
              <w:rPr>
                <w:rFonts w:ascii="宋体" w:hAnsi="宋体"/>
                <w:b/>
                <w:szCs w:val="21"/>
              </w:rPr>
            </w:pPr>
            <w:r>
              <w:rPr>
                <w:rFonts w:hint="eastAsia" w:ascii="宋体" w:hAnsi="宋体"/>
                <w:b/>
                <w:szCs w:val="21"/>
              </w:rPr>
              <w:t>新农合支付</w:t>
            </w:r>
          </w:p>
        </w:tc>
        <w:tc>
          <w:tcPr>
            <w:tcW w:w="1616" w:type="dxa"/>
            <w:tcBorders>
              <w:top w:val="single" w:color="auto" w:sz="4" w:space="0"/>
              <w:bottom w:val="nil"/>
            </w:tcBorders>
            <w:vAlign w:val="center"/>
          </w:tcPr>
          <w:p>
            <w:pPr>
              <w:spacing w:line="410" w:lineRule="exact"/>
              <w:ind w:firstLine="310" w:firstLineChars="147"/>
              <w:jc w:val="center"/>
              <w:rPr>
                <w:rFonts w:ascii="宋体" w:hAnsi="宋体"/>
                <w:b/>
                <w:szCs w:val="21"/>
              </w:rPr>
            </w:pPr>
            <w:r>
              <w:rPr>
                <w:rFonts w:hint="eastAsia" w:ascii="宋体" w:hAnsi="宋体"/>
                <w:b/>
                <w:szCs w:val="21"/>
              </w:rPr>
              <w:t>支付标准</w:t>
            </w:r>
          </w:p>
        </w:tc>
        <w:tc>
          <w:tcPr>
            <w:tcW w:w="1616" w:type="dxa"/>
            <w:tcBorders>
              <w:top w:val="single" w:color="auto" w:sz="4" w:space="0"/>
              <w:bottom w:val="nil"/>
            </w:tcBorders>
            <w:vAlign w:val="center"/>
          </w:tcPr>
          <w:p>
            <w:pPr>
              <w:spacing w:line="410" w:lineRule="exact"/>
              <w:ind w:firstLine="310" w:firstLineChars="147"/>
              <w:jc w:val="center"/>
              <w:rPr>
                <w:rFonts w:ascii="宋体" w:hAnsi="宋体"/>
                <w:b/>
                <w:szCs w:val="21"/>
              </w:rPr>
            </w:pPr>
            <w:r>
              <w:rPr>
                <w:rFonts w:hint="eastAsia" w:ascii="宋体" w:hAnsi="宋体"/>
                <w:b/>
                <w:szCs w:val="21"/>
              </w:rPr>
              <w:t>新农合支付</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jc w:val="center"/>
        </w:trPr>
        <w:tc>
          <w:tcPr>
            <w:tcW w:w="1616" w:type="dxa"/>
            <w:tcBorders>
              <w:top w:val="nil"/>
            </w:tcBorders>
            <w:vAlign w:val="center"/>
          </w:tcPr>
          <w:p>
            <w:pPr>
              <w:spacing w:line="410" w:lineRule="exact"/>
              <w:jc w:val="center"/>
              <w:rPr>
                <w:rFonts w:ascii="宋体" w:hAnsi="宋体"/>
                <w:spacing w:val="-20"/>
                <w:szCs w:val="21"/>
              </w:rPr>
            </w:pPr>
            <w:r>
              <w:rPr>
                <w:rFonts w:hint="eastAsia" w:ascii="宋体" w:hAnsi="宋体"/>
                <w:szCs w:val="21"/>
              </w:rPr>
              <w:t>0.6</w:t>
            </w:r>
          </w:p>
        </w:tc>
        <w:tc>
          <w:tcPr>
            <w:tcW w:w="1616" w:type="dxa"/>
            <w:tcBorders>
              <w:top w:val="nil"/>
            </w:tcBorders>
            <w:vAlign w:val="center"/>
          </w:tcPr>
          <w:p>
            <w:pPr>
              <w:spacing w:line="410" w:lineRule="exact"/>
              <w:jc w:val="center"/>
              <w:rPr>
                <w:rFonts w:ascii="宋体" w:hAnsi="宋体"/>
                <w:spacing w:val="-20"/>
                <w:szCs w:val="21"/>
              </w:rPr>
            </w:pPr>
            <w:r>
              <w:rPr>
                <w:rFonts w:hint="eastAsia" w:ascii="宋体" w:hAnsi="宋体"/>
                <w:szCs w:val="21"/>
              </w:rPr>
              <w:t>0.42</w:t>
            </w:r>
          </w:p>
        </w:tc>
        <w:tc>
          <w:tcPr>
            <w:tcW w:w="1616" w:type="dxa"/>
            <w:tcBorders>
              <w:top w:val="nil"/>
            </w:tcBorders>
            <w:vAlign w:val="center"/>
          </w:tcPr>
          <w:p>
            <w:pPr>
              <w:spacing w:line="410" w:lineRule="exact"/>
              <w:jc w:val="center"/>
              <w:rPr>
                <w:rFonts w:ascii="宋体" w:hAnsi="宋体"/>
                <w:spacing w:val="-20"/>
                <w:szCs w:val="21"/>
              </w:rPr>
            </w:pPr>
            <w:r>
              <w:rPr>
                <w:rFonts w:hint="eastAsia" w:ascii="宋体" w:hAnsi="宋体"/>
                <w:spacing w:val="-20"/>
                <w:szCs w:val="21"/>
              </w:rPr>
              <w:t xml:space="preserve">    0.46</w:t>
            </w:r>
          </w:p>
        </w:tc>
        <w:tc>
          <w:tcPr>
            <w:tcW w:w="1616" w:type="dxa"/>
            <w:tcBorders>
              <w:top w:val="nil"/>
            </w:tcBorders>
            <w:vAlign w:val="center"/>
          </w:tcPr>
          <w:p>
            <w:pPr>
              <w:spacing w:line="410" w:lineRule="exact"/>
              <w:ind w:firstLine="935" w:firstLineChars="550"/>
              <w:rPr>
                <w:rFonts w:ascii="宋体" w:hAnsi="宋体"/>
                <w:spacing w:val="-20"/>
                <w:szCs w:val="21"/>
              </w:rPr>
            </w:pPr>
            <w:r>
              <w:rPr>
                <w:rFonts w:hint="eastAsia" w:ascii="宋体" w:hAnsi="宋体"/>
                <w:spacing w:val="-20"/>
                <w:szCs w:val="21"/>
              </w:rPr>
              <w:t>0.35</w:t>
            </w:r>
          </w:p>
        </w:tc>
      </w:tr>
    </w:tbl>
    <w:p>
      <w:pPr>
        <w:pStyle w:val="5"/>
        <w:adjustRightInd w:val="0"/>
        <w:snapToGrid w:val="0"/>
        <w:spacing w:line="430" w:lineRule="exact"/>
        <w:ind w:firstLine="480"/>
        <w:rPr>
          <w:rFonts w:hint="eastAsia" w:ascii="黑体" w:hAnsi="宋体" w:eastAsia="黑体"/>
          <w:snapToGrid w:val="0"/>
          <w:color w:val="000000"/>
          <w:kern w:val="0"/>
          <w:sz w:val="24"/>
        </w:rPr>
      </w:pPr>
      <w:r>
        <w:rPr>
          <w:rFonts w:hint="eastAsia" w:ascii="黑体" w:hAnsi="宋体" w:eastAsia="黑体"/>
          <w:snapToGrid w:val="0"/>
          <w:color w:val="000000"/>
          <w:kern w:val="0"/>
          <w:sz w:val="24"/>
        </w:rPr>
        <w:t>十五、甲亢</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pStyle w:val="5"/>
        <w:adjustRightInd w:val="0"/>
        <w:snapToGrid w:val="0"/>
        <w:spacing w:line="430" w:lineRule="exact"/>
        <w:ind w:firstLine="480"/>
        <w:rPr>
          <w:rFonts w:ascii="宋体" w:hAnsi="宋体"/>
          <w:snapToGrid w:val="0"/>
          <w:color w:val="000000"/>
          <w:kern w:val="0"/>
          <w:sz w:val="24"/>
        </w:rPr>
      </w:pPr>
      <w:r>
        <w:rPr>
          <w:rFonts w:hint="eastAsia" w:ascii="宋体" w:hAnsi="宋体"/>
          <w:snapToGrid w:val="0"/>
          <w:color w:val="000000"/>
          <w:kern w:val="0"/>
          <w:sz w:val="24"/>
        </w:rPr>
        <w:t>以</w:t>
      </w:r>
      <w:r>
        <w:rPr>
          <w:rFonts w:ascii="宋体" w:hAnsi="宋体"/>
          <w:snapToGrid w:val="0"/>
          <w:color w:val="000000"/>
          <w:kern w:val="0"/>
          <w:sz w:val="24"/>
        </w:rPr>
        <w:t>原发性甲状腺机能亢进症</w:t>
      </w:r>
      <w:r>
        <w:rPr>
          <w:rFonts w:hint="eastAsia" w:ascii="宋体" w:hAnsi="宋体"/>
          <w:snapToGrid w:val="0"/>
          <w:color w:val="000000"/>
          <w:kern w:val="0"/>
          <w:sz w:val="24"/>
        </w:rPr>
        <w:t>（ICD-10：E05.0）为第一诊断的甲亢患者，在定点医疗机构门诊治疗发生的费用，纳入新农合重大疾病按病种付费范围。</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治疗过程需严格按照《</w:t>
      </w:r>
      <w:r>
        <w:rPr>
          <w:rFonts w:ascii="宋体" w:hAnsi="宋体"/>
          <w:snapToGrid w:val="0"/>
          <w:color w:val="000000"/>
          <w:kern w:val="0"/>
          <w:sz w:val="24"/>
        </w:rPr>
        <w:t>原发性甲状腺机能亢进症临床路径</w:t>
      </w:r>
      <w:r>
        <w:rPr>
          <w:rFonts w:hint="eastAsia" w:ascii="宋体" w:hAnsi="宋体"/>
          <w:snapToGrid w:val="0"/>
          <w:color w:val="000000"/>
          <w:kern w:val="0"/>
          <w:sz w:val="24"/>
        </w:rPr>
        <w:t>（2011年版）》执行，方可实行按病种付费。</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（三）支付标准。</w:t>
      </w:r>
    </w:p>
    <w:p>
      <w:pPr>
        <w:adjustRightInd w:val="0"/>
        <w:snapToGrid w:val="0"/>
        <w:spacing w:line="430" w:lineRule="exact"/>
        <w:ind w:firstLine="480" w:firstLineChars="200"/>
        <w:rPr>
          <w:rFonts w:ascii="宋体" w:hAnsi="宋体"/>
          <w:b/>
          <w:sz w:val="24"/>
        </w:rPr>
      </w:pPr>
      <w:r>
        <w:rPr>
          <w:rFonts w:hint="eastAsia" w:ascii="宋体" w:hAnsi="宋体"/>
          <w:snapToGrid w:val="0"/>
          <w:color w:val="000000"/>
          <w:kern w:val="0"/>
          <w:sz w:val="24"/>
        </w:rPr>
        <w:t>支付的费用包括患者每次住院手术治疗发生的费用和全年门诊发生的费用。手术支付的费用包括患者每次住院期间发生的费用，医院应按照定额支付标准收取费用，其中三级医院相应标准的70%，二级医院相应标准的75%由新农合基金支付；门诊费用包括肝功能、甲状腺彩超、甲功全套、TRAB、吸碘率、血常规检查和常见门诊治疗药物费用。门诊费用最高限额为4000元，限额标准内费用的70%由新农合基金支付。</w:t>
      </w:r>
      <w:r>
        <w:rPr>
          <w:rFonts w:ascii="宋体" w:hAnsi="宋体"/>
          <w:b/>
          <w:sz w:val="24"/>
        </w:rPr>
        <w:t xml:space="preserve"> </w:t>
      </w:r>
    </w:p>
    <w:p>
      <w:pPr>
        <w:spacing w:line="430" w:lineRule="exact"/>
        <w:jc w:val="center"/>
        <w:rPr>
          <w:rFonts w:hint="eastAsia" w:ascii="宋体" w:hAnsi="宋体"/>
          <w:sz w:val="24"/>
        </w:rPr>
      </w:pPr>
      <w:r>
        <w:rPr>
          <w:rFonts w:hint="eastAsia" w:ascii="宋体" w:hAnsi="宋体"/>
          <w:sz w:val="24"/>
        </w:rPr>
        <w:t>表15   甲亢住院手术治疗费用的定额支付标准</w:t>
      </w:r>
    </w:p>
    <w:tbl>
      <w:tblPr>
        <w:tblStyle w:val="4"/>
        <w:tblW w:w="6464"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6"/>
        <w:gridCol w:w="1616"/>
        <w:gridCol w:w="1616"/>
        <w:gridCol w:w="161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jc w:val="center"/>
        </w:trPr>
        <w:tc>
          <w:tcPr>
            <w:tcW w:w="3232" w:type="dxa"/>
            <w:gridSpan w:val="2"/>
            <w:tcBorders>
              <w:top w:val="single" w:color="auto" w:sz="4" w:space="0"/>
              <w:bottom w:val="single" w:color="auto" w:sz="4" w:space="0"/>
              <w:right w:val="nil"/>
            </w:tcBorders>
            <w:vAlign w:val="center"/>
          </w:tcPr>
          <w:p>
            <w:pPr>
              <w:spacing w:line="410" w:lineRule="exact"/>
              <w:ind w:firstLine="1136" w:firstLineChars="539"/>
              <w:rPr>
                <w:rFonts w:ascii="宋体" w:hAnsi="宋体"/>
                <w:b/>
                <w:bCs/>
                <w:szCs w:val="21"/>
              </w:rPr>
            </w:pPr>
            <w:r>
              <w:rPr>
                <w:rFonts w:hint="eastAsia" w:ascii="宋体" w:hAnsi="宋体"/>
                <w:b/>
                <w:bCs/>
                <w:szCs w:val="21"/>
              </w:rPr>
              <w:t>三级医院（万元）</w:t>
            </w:r>
          </w:p>
        </w:tc>
        <w:tc>
          <w:tcPr>
            <w:tcW w:w="3232" w:type="dxa"/>
            <w:gridSpan w:val="2"/>
            <w:tcBorders>
              <w:top w:val="single" w:color="auto" w:sz="4" w:space="0"/>
              <w:left w:val="nil"/>
              <w:bottom w:val="single" w:color="auto" w:sz="4" w:space="0"/>
            </w:tcBorders>
            <w:vAlign w:val="center"/>
          </w:tcPr>
          <w:p>
            <w:pPr>
              <w:spacing w:line="410" w:lineRule="exact"/>
              <w:jc w:val="center"/>
              <w:rPr>
                <w:rFonts w:ascii="宋体" w:hAnsi="宋体"/>
                <w:b/>
                <w:bCs/>
                <w:szCs w:val="21"/>
              </w:rPr>
            </w:pPr>
            <w:r>
              <w:rPr>
                <w:rFonts w:hint="eastAsia" w:ascii="宋体" w:hAnsi="宋体"/>
                <w:b/>
                <w:bCs/>
                <w:szCs w:val="21"/>
              </w:rPr>
              <w:t>二级医院（万元）</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 w:hRule="atLeast"/>
          <w:jc w:val="center"/>
        </w:trPr>
        <w:tc>
          <w:tcPr>
            <w:tcW w:w="1616" w:type="dxa"/>
            <w:tcBorders>
              <w:top w:val="single" w:color="auto" w:sz="4" w:space="0"/>
              <w:bottom w:val="nil"/>
              <w:right w:val="nil"/>
            </w:tcBorders>
            <w:vAlign w:val="center"/>
          </w:tcPr>
          <w:p>
            <w:pPr>
              <w:spacing w:line="410" w:lineRule="exact"/>
              <w:jc w:val="center"/>
              <w:rPr>
                <w:rFonts w:ascii="宋体" w:hAnsi="宋体"/>
                <w:b/>
                <w:szCs w:val="21"/>
              </w:rPr>
            </w:pPr>
            <w:r>
              <w:rPr>
                <w:rFonts w:hint="eastAsia" w:ascii="宋体" w:hAnsi="宋体"/>
                <w:b/>
                <w:szCs w:val="21"/>
              </w:rPr>
              <w:t>支付标准</w:t>
            </w:r>
          </w:p>
        </w:tc>
        <w:tc>
          <w:tcPr>
            <w:tcW w:w="1616" w:type="dxa"/>
            <w:tcBorders>
              <w:top w:val="single" w:color="auto" w:sz="4" w:space="0"/>
              <w:left w:val="nil"/>
              <w:bottom w:val="nil"/>
              <w:right w:val="nil"/>
            </w:tcBorders>
            <w:vAlign w:val="center"/>
          </w:tcPr>
          <w:p>
            <w:pPr>
              <w:spacing w:line="410" w:lineRule="exact"/>
              <w:jc w:val="center"/>
              <w:rPr>
                <w:rFonts w:ascii="宋体" w:hAnsi="宋体"/>
                <w:b/>
                <w:szCs w:val="21"/>
              </w:rPr>
            </w:pPr>
            <w:r>
              <w:rPr>
                <w:rFonts w:hint="eastAsia" w:ascii="宋体" w:hAnsi="宋体"/>
                <w:b/>
                <w:szCs w:val="21"/>
              </w:rPr>
              <w:t>新农合支付</w:t>
            </w:r>
          </w:p>
        </w:tc>
        <w:tc>
          <w:tcPr>
            <w:tcW w:w="1616" w:type="dxa"/>
            <w:tcBorders>
              <w:top w:val="single" w:color="auto" w:sz="4" w:space="0"/>
              <w:left w:val="nil"/>
              <w:bottom w:val="nil"/>
              <w:right w:val="nil"/>
            </w:tcBorders>
            <w:vAlign w:val="center"/>
          </w:tcPr>
          <w:p>
            <w:pPr>
              <w:spacing w:line="410" w:lineRule="exact"/>
              <w:ind w:firstLine="411" w:firstLineChars="195"/>
              <w:jc w:val="center"/>
              <w:rPr>
                <w:rFonts w:ascii="宋体" w:hAnsi="宋体"/>
                <w:b/>
                <w:szCs w:val="21"/>
              </w:rPr>
            </w:pPr>
            <w:r>
              <w:rPr>
                <w:rFonts w:hint="eastAsia" w:ascii="宋体" w:hAnsi="宋体"/>
                <w:b/>
                <w:szCs w:val="21"/>
              </w:rPr>
              <w:t>支付标准</w:t>
            </w:r>
          </w:p>
        </w:tc>
        <w:tc>
          <w:tcPr>
            <w:tcW w:w="1616" w:type="dxa"/>
            <w:tcBorders>
              <w:top w:val="single" w:color="auto" w:sz="4" w:space="0"/>
              <w:left w:val="nil"/>
              <w:bottom w:val="nil"/>
            </w:tcBorders>
            <w:vAlign w:val="center"/>
          </w:tcPr>
          <w:p>
            <w:pPr>
              <w:spacing w:line="410" w:lineRule="exact"/>
              <w:jc w:val="center"/>
              <w:rPr>
                <w:rFonts w:ascii="宋体" w:hAnsi="宋体"/>
                <w:b/>
                <w:szCs w:val="21"/>
              </w:rPr>
            </w:pPr>
            <w:r>
              <w:rPr>
                <w:rFonts w:hint="eastAsia" w:ascii="宋体" w:hAnsi="宋体"/>
                <w:b/>
                <w:szCs w:val="21"/>
              </w:rPr>
              <w:t>新农合支付</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1616" w:type="dxa"/>
            <w:tcBorders>
              <w:top w:val="nil"/>
            </w:tcBorders>
            <w:vAlign w:val="center"/>
          </w:tcPr>
          <w:p>
            <w:pPr>
              <w:spacing w:line="410" w:lineRule="exact"/>
              <w:jc w:val="center"/>
              <w:rPr>
                <w:rFonts w:ascii="宋体" w:hAnsi="宋体"/>
                <w:spacing w:val="-20"/>
                <w:szCs w:val="21"/>
              </w:rPr>
            </w:pPr>
            <w:r>
              <w:rPr>
                <w:rFonts w:hint="eastAsia" w:ascii="宋体" w:hAnsi="宋体"/>
                <w:szCs w:val="21"/>
              </w:rPr>
              <w:t>0.6</w:t>
            </w:r>
          </w:p>
        </w:tc>
        <w:tc>
          <w:tcPr>
            <w:tcW w:w="1616" w:type="dxa"/>
            <w:tcBorders>
              <w:top w:val="nil"/>
            </w:tcBorders>
            <w:vAlign w:val="center"/>
          </w:tcPr>
          <w:p>
            <w:pPr>
              <w:spacing w:line="410" w:lineRule="exact"/>
              <w:jc w:val="center"/>
              <w:rPr>
                <w:rFonts w:ascii="宋体" w:hAnsi="宋体"/>
                <w:spacing w:val="-20"/>
                <w:szCs w:val="21"/>
              </w:rPr>
            </w:pPr>
            <w:r>
              <w:rPr>
                <w:rFonts w:hint="eastAsia" w:ascii="宋体" w:hAnsi="宋体"/>
                <w:szCs w:val="21"/>
              </w:rPr>
              <w:t>0.42</w:t>
            </w:r>
          </w:p>
        </w:tc>
        <w:tc>
          <w:tcPr>
            <w:tcW w:w="1616" w:type="dxa"/>
            <w:tcBorders>
              <w:top w:val="nil"/>
            </w:tcBorders>
            <w:vAlign w:val="center"/>
          </w:tcPr>
          <w:p>
            <w:pPr>
              <w:spacing w:line="410" w:lineRule="exact"/>
              <w:jc w:val="center"/>
              <w:rPr>
                <w:rFonts w:ascii="宋体" w:hAnsi="宋体"/>
                <w:spacing w:val="-20"/>
                <w:szCs w:val="21"/>
              </w:rPr>
            </w:pPr>
            <w:r>
              <w:rPr>
                <w:rFonts w:hint="eastAsia" w:ascii="宋体" w:hAnsi="宋体"/>
                <w:spacing w:val="-20"/>
                <w:szCs w:val="21"/>
              </w:rPr>
              <w:t xml:space="preserve">     0.40</w:t>
            </w:r>
          </w:p>
        </w:tc>
        <w:tc>
          <w:tcPr>
            <w:tcW w:w="1616" w:type="dxa"/>
            <w:tcBorders>
              <w:top w:val="nil"/>
            </w:tcBorders>
            <w:vAlign w:val="center"/>
          </w:tcPr>
          <w:p>
            <w:pPr>
              <w:spacing w:line="410" w:lineRule="exact"/>
              <w:jc w:val="center"/>
              <w:rPr>
                <w:rFonts w:ascii="宋体" w:hAnsi="宋体"/>
                <w:spacing w:val="-20"/>
                <w:szCs w:val="21"/>
              </w:rPr>
            </w:pPr>
            <w:r>
              <w:rPr>
                <w:rFonts w:hint="eastAsia" w:ascii="宋体" w:hAnsi="宋体"/>
                <w:spacing w:val="-20"/>
                <w:szCs w:val="21"/>
              </w:rPr>
              <w:t>0.30</w:t>
            </w:r>
          </w:p>
        </w:tc>
      </w:tr>
    </w:tbl>
    <w:p>
      <w:pPr>
        <w:pStyle w:val="5"/>
        <w:adjustRightInd w:val="0"/>
        <w:snapToGrid w:val="0"/>
        <w:spacing w:line="430" w:lineRule="exact"/>
        <w:ind w:firstLine="480"/>
        <w:rPr>
          <w:rFonts w:hint="eastAsia" w:ascii="黑体" w:hAnsi="宋体" w:eastAsia="黑体"/>
          <w:snapToGrid w:val="0"/>
          <w:color w:val="000000"/>
          <w:kern w:val="0"/>
          <w:sz w:val="24"/>
        </w:rPr>
      </w:pPr>
      <w:r>
        <w:rPr>
          <w:rFonts w:hint="eastAsia" w:ascii="黑体" w:hAnsi="宋体" w:eastAsia="黑体"/>
          <w:snapToGrid w:val="0"/>
          <w:color w:val="000000"/>
          <w:kern w:val="0"/>
          <w:sz w:val="24"/>
        </w:rPr>
        <w:t>十六、脑梗死</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以急性脑梗死（ICD10：I63）为第一诊断，起病突然，发病时间在2周以内、头部CT/MRI排除颅内出血等神经系统疾病</w:t>
      </w:r>
      <w:r>
        <w:rPr>
          <w:rFonts w:hint="eastAsia" w:ascii="宋体" w:hAnsi="宋体"/>
          <w:bCs/>
          <w:snapToGrid w:val="0"/>
          <w:color w:val="000000"/>
          <w:kern w:val="0"/>
          <w:sz w:val="24"/>
        </w:rPr>
        <w:t>的</w:t>
      </w:r>
      <w:r>
        <w:rPr>
          <w:rFonts w:hint="eastAsia" w:ascii="宋体" w:hAnsi="宋体"/>
          <w:snapToGrid w:val="0"/>
          <w:color w:val="000000"/>
          <w:kern w:val="0"/>
          <w:sz w:val="24"/>
        </w:rPr>
        <w:t>患者，在定点医疗机构住院期间发生的费用，纳入新农合重大疾病按病种付费范围。血管介入治疗的相关费用暂不纳入按病种付费支付方式，按各地新农合补偿政策执行。</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pStyle w:val="5"/>
        <w:adjustRightInd w:val="0"/>
        <w:snapToGrid w:val="0"/>
        <w:spacing w:line="430" w:lineRule="exact"/>
        <w:ind w:firstLine="480"/>
        <w:rPr>
          <w:rFonts w:ascii="宋体" w:hAnsi="宋体"/>
          <w:snapToGrid w:val="0"/>
          <w:color w:val="000000"/>
          <w:kern w:val="0"/>
          <w:sz w:val="24"/>
        </w:rPr>
      </w:pPr>
      <w:r>
        <w:rPr>
          <w:rFonts w:hint="eastAsia" w:ascii="宋体" w:hAnsi="宋体"/>
          <w:snapToGrid w:val="0"/>
          <w:color w:val="000000"/>
          <w:kern w:val="0"/>
          <w:sz w:val="24"/>
        </w:rPr>
        <w:t>治疗过程需严格按照相关</w:t>
      </w:r>
      <w:r>
        <w:rPr>
          <w:rFonts w:hint="eastAsia" w:ascii="宋体" w:hAnsi="宋体" w:cs="宋体"/>
          <w:snapToGrid w:val="0"/>
          <w:color w:val="000000"/>
          <w:kern w:val="0"/>
          <w:sz w:val="24"/>
        </w:rPr>
        <w:t>临床路径</w:t>
      </w:r>
      <w:r>
        <w:rPr>
          <w:rFonts w:hint="eastAsia" w:ascii="宋体" w:hAnsi="宋体"/>
          <w:snapToGrid w:val="0"/>
          <w:color w:val="000000"/>
          <w:kern w:val="0"/>
          <w:sz w:val="24"/>
        </w:rPr>
        <w:t>执行，方可实行按病种付费。</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（三）支付标准。</w:t>
      </w:r>
    </w:p>
    <w:p>
      <w:pPr>
        <w:adjustRightInd w:val="0"/>
        <w:snapToGrid w:val="0"/>
        <w:spacing w:line="43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支付费用包括患者每次住院期间发生的医疗费用。对住院患者采取限额支付标准，限额标准内费用的70%（三级医院）或75%（二级医院）由新农合基金支付。</w:t>
      </w:r>
    </w:p>
    <w:p>
      <w:pPr>
        <w:pStyle w:val="5"/>
        <w:spacing w:line="430" w:lineRule="exact"/>
        <w:ind w:left="1424" w:leftChars="678" w:firstLine="598" w:firstLineChars="249"/>
        <w:jc w:val="left"/>
        <w:rPr>
          <w:rFonts w:hint="eastAsia" w:ascii="宋体" w:hAnsi="宋体"/>
          <w:sz w:val="24"/>
        </w:rPr>
      </w:pPr>
      <w:r>
        <w:rPr>
          <w:rFonts w:hint="eastAsia" w:ascii="宋体" w:hAnsi="宋体"/>
          <w:sz w:val="24"/>
        </w:rPr>
        <w:t>表16  脑梗死住院治疗费用的限额支付标准</w:t>
      </w:r>
    </w:p>
    <w:tbl>
      <w:tblPr>
        <w:tblStyle w:val="4"/>
        <w:tblW w:w="7484" w:type="dxa"/>
        <w:jc w:val="center"/>
        <w:tblInd w:w="0" w:type="dxa"/>
        <w:tblLayout w:type="fixed"/>
        <w:tblCellMar>
          <w:top w:w="0" w:type="dxa"/>
          <w:left w:w="28" w:type="dxa"/>
          <w:bottom w:w="0" w:type="dxa"/>
          <w:right w:w="28" w:type="dxa"/>
        </w:tblCellMar>
      </w:tblPr>
      <w:tblGrid>
        <w:gridCol w:w="1336"/>
        <w:gridCol w:w="1336"/>
        <w:gridCol w:w="1203"/>
        <w:gridCol w:w="1203"/>
        <w:gridCol w:w="1203"/>
        <w:gridCol w:w="1203"/>
      </w:tblGrid>
      <w:tr>
        <w:tblPrEx>
          <w:tblLayout w:type="fixed"/>
          <w:tblCellMar>
            <w:top w:w="0" w:type="dxa"/>
            <w:left w:w="28" w:type="dxa"/>
            <w:bottom w:w="0" w:type="dxa"/>
            <w:right w:w="28" w:type="dxa"/>
          </w:tblCellMar>
        </w:tblPrEx>
        <w:trPr>
          <w:trHeight w:val="450" w:hRule="atLeast"/>
          <w:jc w:val="center"/>
        </w:trPr>
        <w:tc>
          <w:tcPr>
            <w:tcW w:w="2672" w:type="dxa"/>
            <w:gridSpan w:val="2"/>
            <w:tcBorders>
              <w:top w:val="single" w:color="auto" w:sz="4" w:space="0"/>
              <w:left w:val="nil"/>
              <w:bottom w:val="single" w:color="auto" w:sz="4" w:space="0"/>
              <w:right w:val="nil"/>
            </w:tcBorders>
            <w:vAlign w:val="center"/>
          </w:tcPr>
          <w:p>
            <w:pPr>
              <w:widowControl/>
              <w:spacing w:line="410" w:lineRule="exact"/>
              <w:rPr>
                <w:rFonts w:ascii="宋体" w:hAnsi="宋体" w:cs="宋体"/>
                <w:b/>
                <w:bCs/>
                <w:kern w:val="0"/>
                <w:szCs w:val="21"/>
              </w:rPr>
            </w:pPr>
            <w:r>
              <w:rPr>
                <w:rFonts w:hint="eastAsia" w:ascii="宋体" w:hAnsi="宋体" w:cs="宋体"/>
                <w:b/>
                <w:bCs/>
                <w:kern w:val="0"/>
                <w:szCs w:val="21"/>
              </w:rPr>
              <w:t>省级定点救治医院（万元）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三级医院（万元）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 xml:space="preserve"> 二级医院（万元）</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single" w:color="auto" w:sz="4" w:space="0"/>
              <w:right w:val="nil"/>
            </w:tcBorders>
            <w:vAlign w:val="center"/>
          </w:tcPr>
          <w:p>
            <w:pPr>
              <w:spacing w:line="410" w:lineRule="exact"/>
              <w:jc w:val="center"/>
              <w:rPr>
                <w:rFonts w:ascii="宋体" w:hAnsi="宋体"/>
                <w:szCs w:val="21"/>
              </w:rPr>
            </w:pPr>
            <w:r>
              <w:rPr>
                <w:rFonts w:hint="eastAsia" w:ascii="宋体" w:hAnsi="宋体"/>
                <w:szCs w:val="21"/>
              </w:rPr>
              <w:t>1.26</w:t>
            </w:r>
          </w:p>
        </w:tc>
        <w:tc>
          <w:tcPr>
            <w:tcW w:w="1336" w:type="dxa"/>
            <w:tcBorders>
              <w:top w:val="nil"/>
              <w:left w:val="nil"/>
              <w:bottom w:val="single" w:color="auto" w:sz="4" w:space="0"/>
              <w:right w:val="nil"/>
            </w:tcBorders>
            <w:vAlign w:val="center"/>
          </w:tcPr>
          <w:p>
            <w:pPr>
              <w:spacing w:line="410" w:lineRule="exact"/>
              <w:jc w:val="center"/>
              <w:rPr>
                <w:rFonts w:ascii="宋体" w:hAnsi="宋体"/>
                <w:szCs w:val="21"/>
              </w:rPr>
            </w:pPr>
            <w:r>
              <w:rPr>
                <w:rFonts w:hint="eastAsia" w:ascii="宋体" w:hAnsi="宋体"/>
                <w:szCs w:val="21"/>
              </w:rPr>
              <w:t>0.88</w:t>
            </w:r>
          </w:p>
        </w:tc>
        <w:tc>
          <w:tcPr>
            <w:tcW w:w="1203" w:type="dxa"/>
            <w:tcBorders>
              <w:top w:val="nil"/>
              <w:left w:val="nil"/>
              <w:bottom w:val="single" w:color="auto" w:sz="4" w:space="0"/>
              <w:right w:val="nil"/>
            </w:tcBorders>
            <w:vAlign w:val="center"/>
          </w:tcPr>
          <w:p>
            <w:pPr>
              <w:spacing w:line="410" w:lineRule="exact"/>
              <w:jc w:val="center"/>
              <w:rPr>
                <w:rFonts w:ascii="宋体" w:hAnsi="宋体"/>
                <w:szCs w:val="21"/>
              </w:rPr>
            </w:pPr>
            <w:r>
              <w:rPr>
                <w:rFonts w:hint="eastAsia" w:ascii="宋体" w:hAnsi="宋体"/>
                <w:szCs w:val="21"/>
              </w:rPr>
              <w:t>1.2</w:t>
            </w:r>
          </w:p>
        </w:tc>
        <w:tc>
          <w:tcPr>
            <w:tcW w:w="1203" w:type="dxa"/>
            <w:tcBorders>
              <w:top w:val="nil"/>
              <w:left w:val="nil"/>
              <w:bottom w:val="single" w:color="auto" w:sz="4" w:space="0"/>
              <w:right w:val="nil"/>
            </w:tcBorders>
            <w:vAlign w:val="center"/>
          </w:tcPr>
          <w:p>
            <w:pPr>
              <w:spacing w:line="410" w:lineRule="exact"/>
              <w:jc w:val="center"/>
              <w:rPr>
                <w:rFonts w:ascii="宋体" w:hAnsi="宋体"/>
                <w:szCs w:val="21"/>
              </w:rPr>
            </w:pPr>
            <w:r>
              <w:rPr>
                <w:rFonts w:hint="eastAsia" w:ascii="宋体" w:hAnsi="宋体"/>
                <w:szCs w:val="21"/>
              </w:rPr>
              <w:t>0.84</w:t>
            </w:r>
          </w:p>
        </w:tc>
        <w:tc>
          <w:tcPr>
            <w:tcW w:w="1203" w:type="dxa"/>
            <w:tcBorders>
              <w:top w:val="nil"/>
              <w:left w:val="nil"/>
              <w:bottom w:val="single" w:color="auto" w:sz="4" w:space="0"/>
              <w:right w:val="nil"/>
            </w:tcBorders>
            <w:vAlign w:val="center"/>
          </w:tcPr>
          <w:p>
            <w:pPr>
              <w:spacing w:line="410" w:lineRule="exact"/>
              <w:jc w:val="center"/>
              <w:rPr>
                <w:rFonts w:ascii="宋体" w:hAnsi="宋体"/>
                <w:szCs w:val="21"/>
              </w:rPr>
            </w:pPr>
            <w:r>
              <w:rPr>
                <w:rFonts w:hint="eastAsia" w:ascii="宋体" w:hAnsi="宋体"/>
                <w:szCs w:val="21"/>
              </w:rPr>
              <w:t>1.0</w:t>
            </w:r>
          </w:p>
        </w:tc>
        <w:tc>
          <w:tcPr>
            <w:tcW w:w="1203" w:type="dxa"/>
            <w:tcBorders>
              <w:top w:val="nil"/>
              <w:left w:val="nil"/>
              <w:bottom w:val="single" w:color="auto" w:sz="4" w:space="0"/>
              <w:right w:val="nil"/>
            </w:tcBorders>
            <w:vAlign w:val="center"/>
          </w:tcPr>
          <w:p>
            <w:pPr>
              <w:spacing w:line="410" w:lineRule="exact"/>
              <w:jc w:val="center"/>
              <w:rPr>
                <w:rFonts w:ascii="宋体" w:hAnsi="宋体"/>
                <w:szCs w:val="21"/>
              </w:rPr>
            </w:pPr>
            <w:r>
              <w:rPr>
                <w:rFonts w:hint="eastAsia" w:ascii="宋体" w:hAnsi="宋体"/>
                <w:szCs w:val="21"/>
              </w:rPr>
              <w:t>0.75</w:t>
            </w:r>
          </w:p>
        </w:tc>
      </w:tr>
    </w:tbl>
    <w:p>
      <w:pPr>
        <w:pStyle w:val="5"/>
        <w:adjustRightInd w:val="0"/>
        <w:snapToGrid w:val="0"/>
        <w:spacing w:line="430" w:lineRule="exact"/>
        <w:ind w:firstLine="480"/>
        <w:rPr>
          <w:rFonts w:hint="eastAsia" w:ascii="黑体" w:hAnsi="宋体" w:eastAsia="黑体"/>
          <w:snapToGrid w:val="0"/>
          <w:color w:val="000000"/>
          <w:kern w:val="0"/>
          <w:sz w:val="24"/>
        </w:rPr>
      </w:pPr>
      <w:r>
        <w:rPr>
          <w:rFonts w:hint="eastAsia" w:ascii="黑体" w:hAnsi="宋体" w:eastAsia="黑体"/>
          <w:snapToGrid w:val="0"/>
          <w:color w:val="000000"/>
          <w:kern w:val="0"/>
          <w:sz w:val="24"/>
        </w:rPr>
        <w:t>十七、急性心肌梗塞</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（一）适用对象。</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bCs/>
          <w:snapToGrid w:val="0"/>
          <w:color w:val="000000"/>
          <w:kern w:val="0"/>
          <w:sz w:val="24"/>
        </w:rPr>
        <w:t>以冠心病急性ST段抬高心肌梗死（STEMI）（ICD10：I21.0- I21.3）</w:t>
      </w:r>
      <w:r>
        <w:rPr>
          <w:rFonts w:hint="eastAsia" w:ascii="宋体" w:hAnsi="宋体"/>
          <w:snapToGrid w:val="0"/>
          <w:color w:val="000000"/>
          <w:kern w:val="0"/>
          <w:sz w:val="24"/>
        </w:rPr>
        <w:t>为第一诊断</w:t>
      </w:r>
      <w:r>
        <w:rPr>
          <w:rFonts w:hint="eastAsia" w:ascii="宋体" w:hAnsi="宋体"/>
          <w:bCs/>
          <w:snapToGrid w:val="0"/>
          <w:color w:val="000000"/>
          <w:kern w:val="0"/>
          <w:sz w:val="24"/>
        </w:rPr>
        <w:t>的患者，</w:t>
      </w:r>
      <w:r>
        <w:rPr>
          <w:rFonts w:hint="eastAsia" w:ascii="宋体" w:hAnsi="宋体"/>
          <w:snapToGrid w:val="0"/>
          <w:color w:val="000000"/>
          <w:kern w:val="0"/>
          <w:sz w:val="24"/>
        </w:rPr>
        <w:t>在定点医疗机构住院期间实施基本治疗或溶栓治疗发生的费用，纳入新农合重大疾病按病种付费范围。冠状动脉造影术及冠状动脉内介入治疗的相关费用暂不纳入按病种付费支付方式，按各地新农合补偿政策执行。</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（二）支付条件。</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治疗过程需严格按照急性《ST段抬高心肌梗死临床路径（2009版）》执行，方可实行按病种付费。</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snapToGrid w:val="0"/>
          <w:color w:val="000000"/>
          <w:kern w:val="0"/>
          <w:sz w:val="24"/>
        </w:rPr>
        <w:t>（三）支付标准。</w:t>
      </w:r>
    </w:p>
    <w:p>
      <w:pPr>
        <w:adjustRightInd w:val="0"/>
        <w:snapToGrid w:val="0"/>
        <w:spacing w:line="430" w:lineRule="exact"/>
        <w:ind w:firstLine="480" w:firstLineChars="200"/>
        <w:rPr>
          <w:rFonts w:hint="eastAsia" w:ascii="宋体" w:hAnsi="宋体"/>
          <w:sz w:val="24"/>
        </w:rPr>
      </w:pPr>
      <w:r>
        <w:rPr>
          <w:rFonts w:hint="eastAsia" w:ascii="宋体" w:hAnsi="宋体"/>
          <w:snapToGrid w:val="0"/>
          <w:color w:val="000000"/>
          <w:kern w:val="0"/>
          <w:sz w:val="24"/>
        </w:rPr>
        <w:t>支付的费用包括患者每次住院期间发生的费用。对住院患者采取限额支付标准，限额标准内费用的70%（三级医院）或75%（二级医院）由新农合基金支付。</w:t>
      </w:r>
    </w:p>
    <w:p>
      <w:pPr>
        <w:spacing w:line="430" w:lineRule="exact"/>
        <w:ind w:firstLine="480" w:firstLineChars="200"/>
        <w:jc w:val="center"/>
        <w:rPr>
          <w:rFonts w:hint="eastAsia" w:ascii="宋体" w:hAnsi="宋体"/>
          <w:sz w:val="24"/>
        </w:rPr>
      </w:pPr>
      <w:r>
        <w:rPr>
          <w:rFonts w:hint="eastAsia" w:ascii="宋体" w:hAnsi="宋体"/>
          <w:sz w:val="24"/>
        </w:rPr>
        <w:t>表17  急性心肌梗塞住院治疗费用的限额支付标准</w:t>
      </w:r>
    </w:p>
    <w:tbl>
      <w:tblPr>
        <w:tblStyle w:val="4"/>
        <w:tblW w:w="7484" w:type="dxa"/>
        <w:jc w:val="center"/>
        <w:tblInd w:w="0" w:type="dxa"/>
        <w:tblLayout w:type="fixed"/>
        <w:tblCellMar>
          <w:top w:w="0" w:type="dxa"/>
          <w:left w:w="28" w:type="dxa"/>
          <w:bottom w:w="0" w:type="dxa"/>
          <w:right w:w="28" w:type="dxa"/>
        </w:tblCellMar>
      </w:tblPr>
      <w:tblGrid>
        <w:gridCol w:w="1336"/>
        <w:gridCol w:w="1336"/>
        <w:gridCol w:w="1203"/>
        <w:gridCol w:w="1203"/>
        <w:gridCol w:w="1203"/>
        <w:gridCol w:w="1203"/>
      </w:tblGrid>
      <w:tr>
        <w:tblPrEx>
          <w:tblLayout w:type="fixed"/>
          <w:tblCellMar>
            <w:top w:w="0" w:type="dxa"/>
            <w:left w:w="28" w:type="dxa"/>
            <w:bottom w:w="0" w:type="dxa"/>
            <w:right w:w="28" w:type="dxa"/>
          </w:tblCellMar>
        </w:tblPrEx>
        <w:trPr>
          <w:trHeight w:val="450" w:hRule="atLeast"/>
          <w:jc w:val="center"/>
        </w:trPr>
        <w:tc>
          <w:tcPr>
            <w:tcW w:w="2672" w:type="dxa"/>
            <w:gridSpan w:val="2"/>
            <w:tcBorders>
              <w:top w:val="single" w:color="auto" w:sz="4" w:space="0"/>
              <w:left w:val="nil"/>
              <w:bottom w:val="single" w:color="auto" w:sz="4" w:space="0"/>
              <w:right w:val="nil"/>
            </w:tcBorders>
            <w:vAlign w:val="center"/>
          </w:tcPr>
          <w:p>
            <w:pPr>
              <w:widowControl/>
              <w:spacing w:line="410" w:lineRule="exact"/>
              <w:rPr>
                <w:rFonts w:ascii="宋体" w:hAnsi="宋体" w:cs="宋体"/>
                <w:b/>
                <w:bCs/>
                <w:kern w:val="0"/>
                <w:szCs w:val="21"/>
              </w:rPr>
            </w:pPr>
            <w:r>
              <w:rPr>
                <w:rFonts w:hint="eastAsia" w:ascii="宋体" w:hAnsi="宋体" w:cs="宋体"/>
                <w:b/>
                <w:bCs/>
                <w:kern w:val="0"/>
                <w:szCs w:val="21"/>
              </w:rPr>
              <w:t>省级定点救治医院（万元）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三级医院（万元）</w:t>
            </w:r>
          </w:p>
        </w:tc>
        <w:tc>
          <w:tcPr>
            <w:tcW w:w="2406" w:type="dxa"/>
            <w:gridSpan w:val="2"/>
            <w:tcBorders>
              <w:top w:val="single" w:color="auto" w:sz="4" w:space="0"/>
              <w:left w:val="nil"/>
              <w:bottom w:val="single" w:color="auto" w:sz="4" w:space="0"/>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 xml:space="preserve"> 二级医院（万元）</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336"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支付标准</w:t>
            </w:r>
          </w:p>
        </w:tc>
        <w:tc>
          <w:tcPr>
            <w:tcW w:w="1203" w:type="dxa"/>
            <w:tcBorders>
              <w:top w:val="nil"/>
              <w:left w:val="nil"/>
              <w:bottom w:val="nil"/>
              <w:right w:val="nil"/>
            </w:tcBorders>
            <w:vAlign w:val="center"/>
          </w:tcPr>
          <w:p>
            <w:pPr>
              <w:widowControl/>
              <w:spacing w:line="410" w:lineRule="exact"/>
              <w:jc w:val="center"/>
              <w:rPr>
                <w:rFonts w:ascii="宋体" w:hAnsi="宋体" w:cs="宋体"/>
                <w:b/>
                <w:bCs/>
                <w:kern w:val="0"/>
                <w:szCs w:val="21"/>
              </w:rPr>
            </w:pPr>
            <w:r>
              <w:rPr>
                <w:rFonts w:hint="eastAsia" w:ascii="宋体" w:hAnsi="宋体" w:cs="宋体"/>
                <w:b/>
                <w:bCs/>
                <w:kern w:val="0"/>
                <w:szCs w:val="21"/>
              </w:rPr>
              <w:t>新农合支付</w:t>
            </w:r>
          </w:p>
        </w:tc>
      </w:tr>
      <w:tr>
        <w:tblPrEx>
          <w:tblLayout w:type="fixed"/>
          <w:tblCellMar>
            <w:top w:w="0" w:type="dxa"/>
            <w:left w:w="28" w:type="dxa"/>
            <w:bottom w:w="0" w:type="dxa"/>
            <w:right w:w="28" w:type="dxa"/>
          </w:tblCellMar>
        </w:tblPrEx>
        <w:trPr>
          <w:trHeight w:val="451" w:hRule="atLeast"/>
          <w:jc w:val="center"/>
        </w:trPr>
        <w:tc>
          <w:tcPr>
            <w:tcW w:w="1336" w:type="dxa"/>
            <w:tcBorders>
              <w:top w:val="nil"/>
              <w:left w:val="nil"/>
              <w:bottom w:val="single" w:color="auto" w:sz="4" w:space="0"/>
              <w:right w:val="nil"/>
            </w:tcBorders>
            <w:vAlign w:val="center"/>
          </w:tcPr>
          <w:p>
            <w:pPr>
              <w:spacing w:line="410" w:lineRule="exact"/>
              <w:jc w:val="center"/>
              <w:rPr>
                <w:rFonts w:ascii="宋体" w:hAnsi="宋体"/>
                <w:szCs w:val="21"/>
              </w:rPr>
            </w:pPr>
            <w:r>
              <w:rPr>
                <w:rFonts w:hint="eastAsia" w:ascii="宋体" w:hAnsi="宋体"/>
                <w:szCs w:val="21"/>
              </w:rPr>
              <w:t>1.26</w:t>
            </w:r>
          </w:p>
        </w:tc>
        <w:tc>
          <w:tcPr>
            <w:tcW w:w="1336" w:type="dxa"/>
            <w:tcBorders>
              <w:top w:val="nil"/>
              <w:left w:val="nil"/>
              <w:bottom w:val="single" w:color="auto" w:sz="4" w:space="0"/>
              <w:right w:val="nil"/>
            </w:tcBorders>
            <w:vAlign w:val="center"/>
          </w:tcPr>
          <w:p>
            <w:pPr>
              <w:spacing w:line="410" w:lineRule="exact"/>
              <w:jc w:val="center"/>
              <w:rPr>
                <w:rFonts w:ascii="宋体" w:hAnsi="宋体"/>
                <w:szCs w:val="21"/>
              </w:rPr>
            </w:pPr>
            <w:r>
              <w:rPr>
                <w:rFonts w:hint="eastAsia" w:ascii="宋体" w:hAnsi="宋体"/>
                <w:szCs w:val="21"/>
              </w:rPr>
              <w:t>0.88</w:t>
            </w:r>
          </w:p>
        </w:tc>
        <w:tc>
          <w:tcPr>
            <w:tcW w:w="1203" w:type="dxa"/>
            <w:tcBorders>
              <w:top w:val="nil"/>
              <w:left w:val="nil"/>
              <w:bottom w:val="single" w:color="auto" w:sz="4" w:space="0"/>
              <w:right w:val="nil"/>
            </w:tcBorders>
            <w:vAlign w:val="center"/>
          </w:tcPr>
          <w:p>
            <w:pPr>
              <w:spacing w:line="410" w:lineRule="exact"/>
              <w:jc w:val="center"/>
              <w:rPr>
                <w:rFonts w:ascii="宋体" w:hAnsi="宋体"/>
                <w:szCs w:val="21"/>
              </w:rPr>
            </w:pPr>
            <w:r>
              <w:rPr>
                <w:rFonts w:hint="eastAsia" w:ascii="宋体" w:hAnsi="宋体"/>
                <w:szCs w:val="21"/>
              </w:rPr>
              <w:t>1.2</w:t>
            </w:r>
          </w:p>
        </w:tc>
        <w:tc>
          <w:tcPr>
            <w:tcW w:w="1203" w:type="dxa"/>
            <w:tcBorders>
              <w:top w:val="nil"/>
              <w:left w:val="nil"/>
              <w:bottom w:val="single" w:color="auto" w:sz="4" w:space="0"/>
              <w:right w:val="nil"/>
            </w:tcBorders>
            <w:vAlign w:val="center"/>
          </w:tcPr>
          <w:p>
            <w:pPr>
              <w:spacing w:line="410" w:lineRule="exact"/>
              <w:jc w:val="center"/>
              <w:rPr>
                <w:rFonts w:ascii="宋体" w:hAnsi="宋体"/>
                <w:szCs w:val="21"/>
              </w:rPr>
            </w:pPr>
            <w:r>
              <w:rPr>
                <w:rFonts w:hint="eastAsia" w:ascii="宋体" w:hAnsi="宋体"/>
                <w:szCs w:val="21"/>
              </w:rPr>
              <w:t>0.84</w:t>
            </w:r>
          </w:p>
        </w:tc>
        <w:tc>
          <w:tcPr>
            <w:tcW w:w="1203" w:type="dxa"/>
            <w:tcBorders>
              <w:top w:val="nil"/>
              <w:left w:val="nil"/>
              <w:bottom w:val="single" w:color="auto" w:sz="4" w:space="0"/>
              <w:right w:val="nil"/>
            </w:tcBorders>
            <w:vAlign w:val="center"/>
          </w:tcPr>
          <w:p>
            <w:pPr>
              <w:spacing w:line="410" w:lineRule="exact"/>
              <w:jc w:val="center"/>
              <w:rPr>
                <w:rFonts w:ascii="宋体" w:hAnsi="宋体"/>
                <w:szCs w:val="21"/>
              </w:rPr>
            </w:pPr>
            <w:r>
              <w:rPr>
                <w:rFonts w:hint="eastAsia" w:ascii="宋体" w:hAnsi="宋体"/>
                <w:szCs w:val="21"/>
              </w:rPr>
              <w:t>0.7</w:t>
            </w:r>
          </w:p>
        </w:tc>
        <w:tc>
          <w:tcPr>
            <w:tcW w:w="1203" w:type="dxa"/>
            <w:tcBorders>
              <w:top w:val="nil"/>
              <w:left w:val="nil"/>
              <w:bottom w:val="single" w:color="auto" w:sz="4" w:space="0"/>
              <w:right w:val="nil"/>
            </w:tcBorders>
            <w:vAlign w:val="center"/>
          </w:tcPr>
          <w:p>
            <w:pPr>
              <w:spacing w:line="410" w:lineRule="exact"/>
              <w:jc w:val="center"/>
              <w:rPr>
                <w:rFonts w:ascii="宋体" w:hAnsi="宋体"/>
                <w:szCs w:val="21"/>
              </w:rPr>
            </w:pPr>
            <w:r>
              <w:rPr>
                <w:rFonts w:hint="eastAsia" w:ascii="宋体" w:hAnsi="宋体"/>
                <w:szCs w:val="21"/>
              </w:rPr>
              <w:t>0.53</w:t>
            </w:r>
          </w:p>
        </w:tc>
      </w:tr>
    </w:tbl>
    <w:p>
      <w:pPr>
        <w:pStyle w:val="5"/>
        <w:adjustRightInd w:val="0"/>
        <w:snapToGrid w:val="0"/>
        <w:spacing w:line="430" w:lineRule="exact"/>
        <w:ind w:firstLine="480"/>
        <w:rPr>
          <w:rFonts w:hint="eastAsia" w:ascii="黑体" w:hAnsi="宋体" w:eastAsia="黑体"/>
          <w:bCs/>
          <w:snapToGrid w:val="0"/>
          <w:color w:val="000000"/>
          <w:kern w:val="0"/>
          <w:sz w:val="24"/>
        </w:rPr>
      </w:pPr>
      <w:r>
        <w:rPr>
          <w:rFonts w:hint="eastAsia" w:ascii="黑体" w:hAnsi="宋体" w:eastAsia="黑体" w:cs="宋体"/>
          <w:bCs/>
          <w:snapToGrid w:val="0"/>
          <w:color w:val="000000"/>
          <w:kern w:val="0"/>
          <w:sz w:val="24"/>
        </w:rPr>
        <w:t>十八、慢性粒细胞白血病</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cs="宋体"/>
          <w:snapToGrid w:val="0"/>
          <w:color w:val="000000"/>
          <w:kern w:val="0"/>
          <w:sz w:val="24"/>
        </w:rPr>
        <w:t>（一）适用对象。</w:t>
      </w:r>
    </w:p>
    <w:p>
      <w:pPr>
        <w:pStyle w:val="5"/>
        <w:adjustRightInd w:val="0"/>
        <w:snapToGrid w:val="0"/>
        <w:spacing w:line="430" w:lineRule="exact"/>
        <w:ind w:firstLine="480"/>
        <w:rPr>
          <w:rFonts w:ascii="宋体" w:hAnsi="宋体"/>
          <w:snapToGrid w:val="0"/>
          <w:color w:val="000000"/>
          <w:kern w:val="0"/>
          <w:sz w:val="24"/>
        </w:rPr>
      </w:pPr>
      <w:r>
        <w:rPr>
          <w:rFonts w:hint="eastAsia" w:ascii="宋体" w:hAnsi="宋体" w:cs="宋体"/>
          <w:snapToGrid w:val="0"/>
          <w:color w:val="000000"/>
          <w:kern w:val="0"/>
          <w:sz w:val="24"/>
        </w:rPr>
        <w:t>以慢性粒细胞白血病慢性期</w:t>
      </w:r>
      <w:r>
        <w:rPr>
          <w:rFonts w:hint="eastAsia" w:ascii="宋体" w:hAnsi="宋体"/>
          <w:snapToGrid w:val="0"/>
          <w:color w:val="000000"/>
          <w:kern w:val="0"/>
          <w:sz w:val="24"/>
        </w:rPr>
        <w:t>为第一诊断</w:t>
      </w:r>
      <w:r>
        <w:rPr>
          <w:rFonts w:hint="eastAsia" w:ascii="宋体" w:hAnsi="宋体" w:cs="宋体"/>
          <w:snapToGrid w:val="0"/>
          <w:color w:val="000000"/>
          <w:kern w:val="0"/>
          <w:sz w:val="24"/>
        </w:rPr>
        <w:t>的患者（</w:t>
      </w:r>
      <w:r>
        <w:rPr>
          <w:rFonts w:ascii="宋体" w:hAnsi="宋体"/>
          <w:snapToGrid w:val="0"/>
          <w:color w:val="000000"/>
          <w:kern w:val="0"/>
          <w:sz w:val="24"/>
        </w:rPr>
        <w:t>ICD-10</w:t>
      </w:r>
      <w:r>
        <w:rPr>
          <w:rFonts w:hint="eastAsia" w:ascii="宋体" w:hAnsi="宋体" w:cs="宋体"/>
          <w:snapToGrid w:val="0"/>
          <w:color w:val="000000"/>
          <w:kern w:val="0"/>
          <w:sz w:val="24"/>
        </w:rPr>
        <w:t>：</w:t>
      </w:r>
      <w:r>
        <w:rPr>
          <w:rFonts w:ascii="宋体" w:hAnsi="宋体"/>
          <w:snapToGrid w:val="0"/>
          <w:color w:val="000000"/>
          <w:kern w:val="0"/>
          <w:sz w:val="24"/>
        </w:rPr>
        <w:t>C92.101</w:t>
      </w:r>
      <w:r>
        <w:rPr>
          <w:rFonts w:hint="eastAsia" w:ascii="宋体" w:hAnsi="宋体" w:cs="宋体"/>
          <w:snapToGrid w:val="0"/>
          <w:color w:val="000000"/>
          <w:kern w:val="0"/>
          <w:sz w:val="24"/>
        </w:rPr>
        <w:t>），在定点医疗机构全年治疗发生的费用，纳入新农合重大疾病按病种付费范围。</w:t>
      </w:r>
    </w:p>
    <w:p>
      <w:pPr>
        <w:pStyle w:val="5"/>
        <w:adjustRightInd w:val="0"/>
        <w:snapToGrid w:val="0"/>
        <w:spacing w:line="430" w:lineRule="exact"/>
        <w:ind w:firstLine="480"/>
        <w:rPr>
          <w:rFonts w:hint="eastAsia" w:ascii="方正楷体简体" w:hAnsi="宋体" w:eastAsia="方正楷体简体"/>
          <w:snapToGrid w:val="0"/>
          <w:color w:val="000000"/>
          <w:kern w:val="0"/>
          <w:sz w:val="24"/>
        </w:rPr>
      </w:pPr>
      <w:r>
        <w:rPr>
          <w:rFonts w:hint="eastAsia" w:ascii="方正楷体简体" w:hAnsi="宋体" w:eastAsia="方正楷体简体" w:cs="宋体"/>
          <w:snapToGrid w:val="0"/>
          <w:color w:val="000000"/>
          <w:kern w:val="0"/>
          <w:sz w:val="24"/>
        </w:rPr>
        <w:t>（二）支付条件。</w:t>
      </w:r>
    </w:p>
    <w:p>
      <w:pPr>
        <w:adjustRightInd w:val="0"/>
        <w:snapToGrid w:val="0"/>
        <w:spacing w:line="43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治疗过程需严格按照《慢性髓细胞白血病临床路径（2011年版）》执行，方可实行按病种付费。首选伊马替尼治疗，在无条件使用伊马替尼时，可选用其他治疗方法。</w:t>
      </w:r>
    </w:p>
    <w:p>
      <w:pPr>
        <w:adjustRightInd w:val="0"/>
        <w:snapToGrid w:val="0"/>
        <w:spacing w:line="430" w:lineRule="exact"/>
        <w:ind w:firstLine="480" w:firstLineChars="200"/>
        <w:rPr>
          <w:rFonts w:hint="eastAsia" w:ascii="方正楷体简体" w:hAnsi="宋体" w:eastAsia="方正楷体简体" w:cs="宋体"/>
          <w:snapToGrid w:val="0"/>
          <w:color w:val="000000"/>
          <w:kern w:val="0"/>
          <w:sz w:val="24"/>
        </w:rPr>
      </w:pPr>
      <w:r>
        <w:rPr>
          <w:rFonts w:hint="eastAsia" w:ascii="方正楷体简体" w:hAnsi="宋体" w:eastAsia="方正楷体简体" w:cs="宋体"/>
          <w:snapToGrid w:val="0"/>
          <w:color w:val="000000"/>
          <w:kern w:val="0"/>
          <w:sz w:val="24"/>
        </w:rPr>
        <w:t>（三）支付标准。</w:t>
      </w:r>
    </w:p>
    <w:p>
      <w:pPr>
        <w:adjustRightInd w:val="0"/>
        <w:snapToGrid w:val="0"/>
        <w:spacing w:line="43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支付费用包括患者每次住院治疗和全年门诊治疗的费用。患者使用</w:t>
      </w:r>
      <w:r>
        <w:rPr>
          <w:rFonts w:hint="eastAsia" w:ascii="宋体" w:hAnsi="宋体" w:cs="宋体"/>
          <w:snapToGrid w:val="0"/>
          <w:color w:val="000000"/>
          <w:kern w:val="0"/>
          <w:sz w:val="24"/>
        </w:rPr>
        <w:t>伊马替尼治疗</w:t>
      </w:r>
      <w:r>
        <w:rPr>
          <w:rFonts w:hint="eastAsia" w:ascii="宋体" w:hAnsi="宋体"/>
          <w:snapToGrid w:val="0"/>
          <w:color w:val="000000"/>
          <w:kern w:val="0"/>
          <w:sz w:val="24"/>
        </w:rPr>
        <w:t>，医院应在限额支付标准内收取治疗的费用，限额内发生费用的70%由新农合基金支付。患者使用其他方法治疗发生的费用超过限额支付标准的部分，按新农合相关政策进行报销；不足限额支付标准的部分，据实报销。</w:t>
      </w:r>
    </w:p>
    <w:p>
      <w:pPr>
        <w:pStyle w:val="5"/>
        <w:spacing w:line="430" w:lineRule="exact"/>
        <w:ind w:firstLine="480"/>
        <w:jc w:val="center"/>
        <w:rPr>
          <w:rFonts w:ascii="宋体" w:hAnsi="宋体"/>
          <w:sz w:val="24"/>
        </w:rPr>
      </w:pPr>
      <w:r>
        <w:rPr>
          <w:rFonts w:hint="eastAsia" w:ascii="宋体" w:hAnsi="宋体" w:cs="宋体"/>
          <w:bCs/>
          <w:sz w:val="24"/>
        </w:rPr>
        <w:t>表18 慢性粒细胞白血病治疗费用的</w:t>
      </w:r>
      <w:r>
        <w:rPr>
          <w:rFonts w:hint="eastAsia" w:ascii="宋体" w:hAnsi="宋体" w:cs="宋体"/>
          <w:bCs/>
          <w:spacing w:val="-20"/>
          <w:sz w:val="24"/>
        </w:rPr>
        <w:t>限额</w:t>
      </w:r>
      <w:r>
        <w:rPr>
          <w:rFonts w:hint="eastAsia" w:ascii="宋体" w:hAnsi="宋体" w:cs="宋体"/>
          <w:bCs/>
          <w:sz w:val="24"/>
        </w:rPr>
        <w:t>支付标准</w:t>
      </w:r>
    </w:p>
    <w:tbl>
      <w:tblPr>
        <w:tblStyle w:val="4"/>
        <w:tblW w:w="6464"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32"/>
        <w:gridCol w:w="323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 w:hRule="atLeast"/>
          <w:jc w:val="center"/>
        </w:trPr>
        <w:tc>
          <w:tcPr>
            <w:tcW w:w="6464" w:type="dxa"/>
            <w:gridSpan w:val="2"/>
            <w:tcBorders>
              <w:top w:val="single" w:color="auto" w:sz="4" w:space="0"/>
              <w:bottom w:val="single" w:color="auto" w:sz="4" w:space="0"/>
            </w:tcBorders>
            <w:vAlign w:val="center"/>
          </w:tcPr>
          <w:p>
            <w:pPr>
              <w:spacing w:line="410" w:lineRule="exact"/>
              <w:jc w:val="center"/>
              <w:rPr>
                <w:rFonts w:ascii="宋体" w:hAnsi="宋体"/>
                <w:b/>
                <w:bCs/>
                <w:szCs w:val="21"/>
              </w:rPr>
            </w:pPr>
            <w:r>
              <w:rPr>
                <w:rFonts w:hint="eastAsia" w:ascii="宋体" w:hAnsi="宋体"/>
                <w:b/>
                <w:bCs/>
                <w:szCs w:val="21"/>
              </w:rPr>
              <w:t>三级医院（万元）</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3232" w:type="dxa"/>
            <w:tcBorders>
              <w:top w:val="single" w:color="auto" w:sz="4" w:space="0"/>
              <w:bottom w:val="nil"/>
            </w:tcBorders>
            <w:vAlign w:val="center"/>
          </w:tcPr>
          <w:p>
            <w:pPr>
              <w:spacing w:line="410" w:lineRule="exact"/>
              <w:jc w:val="center"/>
              <w:rPr>
                <w:rFonts w:ascii="宋体" w:hAnsi="宋体"/>
                <w:b/>
                <w:bCs/>
                <w:szCs w:val="21"/>
              </w:rPr>
            </w:pPr>
            <w:r>
              <w:rPr>
                <w:rFonts w:hint="eastAsia" w:ascii="宋体" w:hAnsi="宋体" w:cs="宋体"/>
                <w:b/>
                <w:bCs/>
                <w:szCs w:val="21"/>
              </w:rPr>
              <w:t>支付标准</w:t>
            </w:r>
          </w:p>
        </w:tc>
        <w:tc>
          <w:tcPr>
            <w:tcW w:w="3232" w:type="dxa"/>
            <w:tcBorders>
              <w:top w:val="single" w:color="auto" w:sz="4" w:space="0"/>
              <w:bottom w:val="nil"/>
            </w:tcBorders>
            <w:vAlign w:val="center"/>
          </w:tcPr>
          <w:p>
            <w:pPr>
              <w:spacing w:line="410" w:lineRule="exact"/>
              <w:jc w:val="center"/>
              <w:rPr>
                <w:rFonts w:ascii="宋体" w:hAnsi="宋体"/>
                <w:b/>
                <w:bCs/>
                <w:szCs w:val="21"/>
              </w:rPr>
            </w:pPr>
            <w:r>
              <w:rPr>
                <w:rFonts w:hint="eastAsia" w:ascii="宋体" w:hAnsi="宋体" w:cs="宋体"/>
                <w:b/>
                <w:bCs/>
                <w:szCs w:val="21"/>
              </w:rPr>
              <w:t>新农合支付</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jc w:val="center"/>
        </w:trPr>
        <w:tc>
          <w:tcPr>
            <w:tcW w:w="3232" w:type="dxa"/>
            <w:tcBorders>
              <w:top w:val="nil"/>
            </w:tcBorders>
            <w:vAlign w:val="center"/>
          </w:tcPr>
          <w:p>
            <w:pPr>
              <w:spacing w:line="410" w:lineRule="exact"/>
              <w:jc w:val="center"/>
              <w:rPr>
                <w:rFonts w:ascii="宋体" w:hAnsi="宋体"/>
                <w:szCs w:val="21"/>
              </w:rPr>
            </w:pPr>
            <w:r>
              <w:rPr>
                <w:rFonts w:ascii="宋体" w:hAnsi="宋体"/>
                <w:szCs w:val="21"/>
              </w:rPr>
              <w:t>7</w:t>
            </w:r>
            <w:r>
              <w:rPr>
                <w:rFonts w:hint="eastAsia" w:ascii="宋体" w:hAnsi="宋体"/>
                <w:szCs w:val="21"/>
              </w:rPr>
              <w:t>.2</w:t>
            </w:r>
          </w:p>
        </w:tc>
        <w:tc>
          <w:tcPr>
            <w:tcW w:w="3232" w:type="dxa"/>
            <w:tcBorders>
              <w:top w:val="nil"/>
            </w:tcBorders>
            <w:vAlign w:val="center"/>
          </w:tcPr>
          <w:p>
            <w:pPr>
              <w:spacing w:line="410" w:lineRule="exact"/>
              <w:jc w:val="center"/>
              <w:rPr>
                <w:rFonts w:ascii="宋体" w:hAnsi="宋体"/>
                <w:szCs w:val="21"/>
              </w:rPr>
            </w:pPr>
            <w:r>
              <w:rPr>
                <w:rFonts w:ascii="宋体" w:hAnsi="宋体"/>
                <w:szCs w:val="21"/>
              </w:rPr>
              <w:t>5.04</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大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sans-serif">
    <w:altName w:val="Courier New"/>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新宋体">
    <w:panose1 w:val="02010609030101010101"/>
    <w:charset w:val="86"/>
    <w:family w:val="swiss"/>
    <w:pitch w:val="default"/>
    <w:sig w:usb0="00000003" w:usb1="288F0000" w:usb2="0000000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方正黑体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D5F5E"/>
    <w:rsid w:val="05ED35C6"/>
    <w:rsid w:val="2B406E77"/>
    <w:rsid w:val="756D5F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rPr>
      <w:kern w:val="0"/>
      <w:sz w:val="20"/>
      <w:lang w:val="zh-CN" w:eastAsia="zh-CN"/>
    </w:rPr>
  </w:style>
  <w:style w:type="paragraph" w:customStyle="1" w:styleId="5">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2015-12-31T07:46:00Z</dcterms:created>
  <dc:creator>chaunuser</dc:creator>
  <cp:lastModifiedBy>chaunuser</cp:lastModifiedBy>
  <dcterms:modified xsi:type="dcterms:W3CDTF">2015-12-31T07:47:30Z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